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6776A6" w14:textId="77777777" w:rsidR="00CB2FB8" w:rsidRPr="00CB2FB8" w:rsidRDefault="00CB2FB8" w:rsidP="00CB2FB8">
      <w:pPr>
        <w:spacing w:after="0" w:line="240" w:lineRule="auto"/>
        <w:rPr>
          <w:rFonts w:ascii="Aptos" w:eastAsia="Times New Roman" w:hAnsi="Aptos" w:cs="Times New Roman"/>
          <w:color w:val="212121"/>
          <w:kern w:val="0"/>
          <w14:ligatures w14:val="none"/>
        </w:rPr>
      </w:pPr>
      <w:r w:rsidRPr="00CB2FB8">
        <w:rPr>
          <w:rFonts w:ascii="Times New Roman" w:eastAsia="Times New Roman" w:hAnsi="Times New Roman" w:cs="Times New Roman"/>
          <w:b/>
          <w:bCs/>
          <w:color w:val="000000"/>
          <w:kern w:val="0"/>
          <w14:ligatures w14:val="none"/>
        </w:rPr>
        <w:t>U.S. Industrial Policy for Business Competitiveness: AI and Critical Minerals</w:t>
      </w:r>
    </w:p>
    <w:p w14:paraId="173F8EEE" w14:textId="77777777" w:rsidR="00CB2FB8" w:rsidRPr="00CB2FB8" w:rsidRDefault="00CB2FB8" w:rsidP="00CB2FB8">
      <w:pPr>
        <w:spacing w:after="0" w:line="240" w:lineRule="auto"/>
        <w:rPr>
          <w:rFonts w:ascii="Aptos" w:eastAsia="Times New Roman" w:hAnsi="Aptos" w:cs="Times New Roman"/>
          <w:color w:val="212121"/>
          <w:kern w:val="0"/>
          <w14:ligatures w14:val="none"/>
        </w:rPr>
      </w:pPr>
      <w:r w:rsidRPr="00CB2FB8">
        <w:rPr>
          <w:rFonts w:ascii="Times New Roman" w:eastAsia="Times New Roman" w:hAnsi="Times New Roman" w:cs="Times New Roman"/>
          <w:color w:val="000000"/>
          <w:kern w:val="0"/>
          <w14:ligatures w14:val="none"/>
        </w:rPr>
        <w:t> </w:t>
      </w:r>
    </w:p>
    <w:p w14:paraId="7C5B0504" w14:textId="77777777" w:rsidR="00CB2FB8" w:rsidRPr="00CB2FB8" w:rsidRDefault="00CB2FB8" w:rsidP="00CB2FB8">
      <w:pPr>
        <w:spacing w:after="0" w:line="240" w:lineRule="auto"/>
        <w:rPr>
          <w:rFonts w:ascii="Aptos" w:eastAsia="Times New Roman" w:hAnsi="Aptos" w:cs="Times New Roman"/>
          <w:color w:val="212121"/>
          <w:kern w:val="0"/>
          <w14:ligatures w14:val="none"/>
        </w:rPr>
      </w:pPr>
      <w:r w:rsidRPr="00CB2FB8">
        <w:rPr>
          <w:rFonts w:ascii="Times New Roman" w:eastAsia="Times New Roman" w:hAnsi="Times New Roman" w:cs="Times New Roman"/>
          <w:color w:val="000000"/>
          <w:kern w:val="0"/>
          <w14:ligatures w14:val="none"/>
        </w:rPr>
        <w:t>This course examines how U.S. industrial policy shapes American business competitiveness, using two of the most consequential contemporary cases: artificial intelligence and critical minerals. In both cases, American firms' ability to compete is increasingly shaped by government intervention in markets, driven by national security considerations. That intervention takes two forms: catalytic instruments (public investment, permitting reform, subsidies, procurement) and defensive instruments (export controls, tariffs, investment screening). Students develop a framework for evaluating when such intervention is justified, what it costs American businesses and the broader economy, and how those costs and benefits are distributed.</w:t>
      </w:r>
    </w:p>
    <w:p w14:paraId="4ADC725F" w14:textId="77777777" w:rsidR="00CB2FB8" w:rsidRPr="00CB2FB8" w:rsidRDefault="00CB2FB8" w:rsidP="00CB2FB8">
      <w:pPr>
        <w:spacing w:after="0" w:line="240" w:lineRule="auto"/>
        <w:rPr>
          <w:rFonts w:ascii="Aptos" w:eastAsia="Times New Roman" w:hAnsi="Aptos" w:cs="Times New Roman"/>
          <w:color w:val="212121"/>
          <w:kern w:val="0"/>
          <w14:ligatures w14:val="none"/>
        </w:rPr>
      </w:pPr>
      <w:r w:rsidRPr="00CB2FB8">
        <w:rPr>
          <w:rFonts w:ascii="Times New Roman" w:eastAsia="Times New Roman" w:hAnsi="Times New Roman" w:cs="Times New Roman"/>
          <w:color w:val="000000"/>
          <w:kern w:val="0"/>
          <w14:ligatures w14:val="none"/>
        </w:rPr>
        <w:t> </w:t>
      </w:r>
    </w:p>
    <w:p w14:paraId="061C9363" w14:textId="77777777" w:rsidR="00CB2FB8" w:rsidRPr="00CB2FB8" w:rsidRDefault="00CB2FB8" w:rsidP="00CB2FB8">
      <w:pPr>
        <w:spacing w:after="0" w:line="240" w:lineRule="auto"/>
        <w:rPr>
          <w:rFonts w:ascii="Aptos" w:eastAsia="Times New Roman" w:hAnsi="Aptos" w:cs="Times New Roman"/>
          <w:color w:val="212121"/>
          <w:kern w:val="0"/>
          <w14:ligatures w14:val="none"/>
        </w:rPr>
      </w:pPr>
      <w:r w:rsidRPr="00CB2FB8">
        <w:rPr>
          <w:rFonts w:ascii="Times New Roman" w:eastAsia="Times New Roman" w:hAnsi="Times New Roman" w:cs="Times New Roman"/>
          <w:color w:val="000000"/>
          <w:kern w:val="0"/>
          <w14:ligatures w14:val="none"/>
        </w:rPr>
        <w:t>The first module examines U.S. business competitiveness in artificial intelligence, starting with the buildout of compute and energy infrastructure and the federal and state incentives, permitting reforms, and public investment shaping it. From there, it turns to export controls and other tools designed to slow Chinese capability development, and what they mean for U.S. firms. The module closes by examining the domestic costs the buildout is generating, from mounting electricity and water demand to labor market disruption.</w:t>
      </w:r>
    </w:p>
    <w:p w14:paraId="114EED86" w14:textId="77777777" w:rsidR="00CB2FB8" w:rsidRPr="00CB2FB8" w:rsidRDefault="00CB2FB8" w:rsidP="00CB2FB8">
      <w:pPr>
        <w:spacing w:after="0" w:line="240" w:lineRule="auto"/>
        <w:rPr>
          <w:rFonts w:ascii="Aptos" w:eastAsia="Times New Roman" w:hAnsi="Aptos" w:cs="Times New Roman"/>
          <w:color w:val="212121"/>
          <w:kern w:val="0"/>
          <w14:ligatures w14:val="none"/>
        </w:rPr>
      </w:pPr>
      <w:r w:rsidRPr="00CB2FB8">
        <w:rPr>
          <w:rFonts w:ascii="Times New Roman" w:eastAsia="Times New Roman" w:hAnsi="Times New Roman" w:cs="Times New Roman"/>
          <w:color w:val="000000"/>
          <w:kern w:val="0"/>
          <w14:ligatures w14:val="none"/>
        </w:rPr>
        <w:t> </w:t>
      </w:r>
    </w:p>
    <w:p w14:paraId="1BFAD5C5" w14:textId="77777777" w:rsidR="00CB2FB8" w:rsidRPr="00CB2FB8" w:rsidRDefault="00CB2FB8" w:rsidP="00CB2FB8">
      <w:pPr>
        <w:spacing w:after="0" w:line="240" w:lineRule="auto"/>
        <w:rPr>
          <w:rFonts w:ascii="Aptos" w:eastAsia="Times New Roman" w:hAnsi="Aptos" w:cs="Times New Roman"/>
          <w:color w:val="212121"/>
          <w:kern w:val="0"/>
          <w14:ligatures w14:val="none"/>
        </w:rPr>
      </w:pPr>
      <w:r w:rsidRPr="00CB2FB8">
        <w:rPr>
          <w:rFonts w:ascii="Times New Roman" w:eastAsia="Times New Roman" w:hAnsi="Times New Roman" w:cs="Times New Roman"/>
          <w:color w:val="000000"/>
          <w:kern w:val="0"/>
          <w14:ligatures w14:val="none"/>
        </w:rPr>
        <w:t>The second module turns to rare earths and critical minerals, where a multi-decade Chinese head start in extraction, processing, and refining has left U.S. supply chains acutely exposed across defense, energy, and technology sectors. Students examine the policy toolkit available to close this gap — permitting and financing reform, offtake agreements, and international partnerships — alongside the political economy that has long complicated U.S. minerals policy.</w:t>
      </w:r>
    </w:p>
    <w:p w14:paraId="00E7A0DD" w14:textId="77777777" w:rsidR="00CB2FB8" w:rsidRPr="00CB2FB8" w:rsidRDefault="00CB2FB8" w:rsidP="00CB2FB8">
      <w:pPr>
        <w:spacing w:after="0" w:line="240" w:lineRule="auto"/>
        <w:rPr>
          <w:rFonts w:ascii="Aptos" w:eastAsia="Times New Roman" w:hAnsi="Aptos" w:cs="Times New Roman"/>
          <w:color w:val="212121"/>
          <w:kern w:val="0"/>
          <w14:ligatures w14:val="none"/>
        </w:rPr>
      </w:pPr>
      <w:r w:rsidRPr="00CB2FB8">
        <w:rPr>
          <w:rFonts w:ascii="Times New Roman" w:eastAsia="Times New Roman" w:hAnsi="Times New Roman" w:cs="Times New Roman"/>
          <w:color w:val="000000"/>
          <w:kern w:val="0"/>
          <w14:ligatures w14:val="none"/>
        </w:rPr>
        <w:t> </w:t>
      </w:r>
    </w:p>
    <w:p w14:paraId="5112FDE6" w14:textId="77777777" w:rsidR="00CB2FB8" w:rsidRPr="00CB2FB8" w:rsidRDefault="00CB2FB8" w:rsidP="00CB2FB8">
      <w:pPr>
        <w:spacing w:after="0" w:line="240" w:lineRule="auto"/>
        <w:rPr>
          <w:rFonts w:ascii="Aptos" w:eastAsia="Times New Roman" w:hAnsi="Aptos" w:cs="Times New Roman"/>
          <w:color w:val="212121"/>
          <w:kern w:val="0"/>
          <w14:ligatures w14:val="none"/>
        </w:rPr>
      </w:pPr>
      <w:r w:rsidRPr="00CB2FB8">
        <w:rPr>
          <w:rFonts w:ascii="Times New Roman" w:eastAsia="Times New Roman" w:hAnsi="Times New Roman" w:cs="Times New Roman"/>
          <w:color w:val="000000"/>
          <w:kern w:val="0"/>
          <w14:ligatures w14:val="none"/>
        </w:rPr>
        <w:t>Across both modules, the course returns to a common set of analytical questions: What does a coherent American industrial policy look like in practice? When are subsidies, export controls, and public investment justified on economic security grounds, and what tradeoffs and unintended consequences do they generate for American businesses? How should policymakers weigh speed against sustainability, security against openness, and what makes a given intervention politically and administratively feasible? Students engage policy documents and original case studies, hear from guest speakers, and produce policy memos and analytical briefs over the course of the term.</w:t>
      </w:r>
    </w:p>
    <w:p w14:paraId="3C8C0386" w14:textId="77777777" w:rsidR="003D4005" w:rsidRDefault="003D4005"/>
    <w:sectPr w:rsidR="003D40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B8"/>
    <w:rsid w:val="0003494E"/>
    <w:rsid w:val="00104038"/>
    <w:rsid w:val="001C07E0"/>
    <w:rsid w:val="003D4005"/>
    <w:rsid w:val="00CB2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06BAC2"/>
  <w15:chartTrackingRefBased/>
  <w15:docId w15:val="{78EB4466-9FC8-8D42-B0A4-724D61104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2F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2F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2F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2F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2F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2F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F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F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F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F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2F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2F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2F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2F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2F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F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F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FB8"/>
    <w:rPr>
      <w:rFonts w:eastAsiaTheme="majorEastAsia" w:cstheme="majorBidi"/>
      <w:color w:val="272727" w:themeColor="text1" w:themeTint="D8"/>
    </w:rPr>
  </w:style>
  <w:style w:type="paragraph" w:styleId="Title">
    <w:name w:val="Title"/>
    <w:basedOn w:val="Normal"/>
    <w:next w:val="Normal"/>
    <w:link w:val="TitleChar"/>
    <w:uiPriority w:val="10"/>
    <w:qFormat/>
    <w:rsid w:val="00CB2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F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F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F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FB8"/>
    <w:pPr>
      <w:spacing w:before="160"/>
      <w:jc w:val="center"/>
    </w:pPr>
    <w:rPr>
      <w:i/>
      <w:iCs/>
      <w:color w:val="404040" w:themeColor="text1" w:themeTint="BF"/>
    </w:rPr>
  </w:style>
  <w:style w:type="character" w:customStyle="1" w:styleId="QuoteChar">
    <w:name w:val="Quote Char"/>
    <w:basedOn w:val="DefaultParagraphFont"/>
    <w:link w:val="Quote"/>
    <w:uiPriority w:val="29"/>
    <w:rsid w:val="00CB2FB8"/>
    <w:rPr>
      <w:i/>
      <w:iCs/>
      <w:color w:val="404040" w:themeColor="text1" w:themeTint="BF"/>
    </w:rPr>
  </w:style>
  <w:style w:type="paragraph" w:styleId="ListParagraph">
    <w:name w:val="List Paragraph"/>
    <w:basedOn w:val="Normal"/>
    <w:uiPriority w:val="34"/>
    <w:qFormat/>
    <w:rsid w:val="00CB2FB8"/>
    <w:pPr>
      <w:ind w:left="720"/>
      <w:contextualSpacing/>
    </w:pPr>
  </w:style>
  <w:style w:type="character" w:styleId="IntenseEmphasis">
    <w:name w:val="Intense Emphasis"/>
    <w:basedOn w:val="DefaultParagraphFont"/>
    <w:uiPriority w:val="21"/>
    <w:qFormat/>
    <w:rsid w:val="00CB2FB8"/>
    <w:rPr>
      <w:i/>
      <w:iCs/>
      <w:color w:val="0F4761" w:themeColor="accent1" w:themeShade="BF"/>
    </w:rPr>
  </w:style>
  <w:style w:type="paragraph" w:styleId="IntenseQuote">
    <w:name w:val="Intense Quote"/>
    <w:basedOn w:val="Normal"/>
    <w:next w:val="Normal"/>
    <w:link w:val="IntenseQuoteChar"/>
    <w:uiPriority w:val="30"/>
    <w:qFormat/>
    <w:rsid w:val="00CB2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2FB8"/>
    <w:rPr>
      <w:i/>
      <w:iCs/>
      <w:color w:val="0F4761" w:themeColor="accent1" w:themeShade="BF"/>
    </w:rPr>
  </w:style>
  <w:style w:type="character" w:styleId="IntenseReference">
    <w:name w:val="Intense Reference"/>
    <w:basedOn w:val="DefaultParagraphFont"/>
    <w:uiPriority w:val="32"/>
    <w:qFormat/>
    <w:rsid w:val="00CB2F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370</Words>
  <Characters>2115</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Dilawar A</dc:creator>
  <cp:keywords/>
  <dc:description/>
  <cp:lastModifiedBy>Syed, Dilawar A</cp:lastModifiedBy>
  <cp:revision>1</cp:revision>
  <dcterms:created xsi:type="dcterms:W3CDTF">2026-09-17T22:36:00Z</dcterms:created>
  <dcterms:modified xsi:type="dcterms:W3CDTF">2026-09-17T22:44:00Z</dcterms:modified>
</cp:coreProperties>
</file>