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b/>
          <w:bCs/>
        </w:rPr>
        <w:t xml:space="preserve">PA 397C: Program Evaluation</w:t>
      </w:r>
    </w:p>
    <w:p>
      <w:pPr>
        <w:spacing w:after="200"/>
      </w:pPr>
      <w:r>
        <w:rPr>
          <w:i/>
          <w:iCs/>
          <w:sz w:val="22"/>
          <w:szCs w:val="22"/>
        </w:rPr>
        <w:t xml:space="preserve">Credible Impact Assessment for Social Impact Entrepreneurs and Evaluators</w:t>
      </w:r>
    </w:p>
    <w:p>
      <w:pPr>
        <w:spacing w:after="300"/>
      </w:pPr>
      <w:r>
        <w:rPr>
          <w:sz w:val="22"/>
          <w:szCs w:val="22"/>
        </w:rPr>
        <w:t xml:space="preserve">Fall 2026 | Graduate Seminar | Prof. Patrick Bixler, PhD</w:t>
      </w:r>
    </w:p>
    <w:p>
      <w:pPr>
        <w:pBdr>
          <w:bottom w:val="single" w:color="BF5700" w:sz="6"/>
        </w:pBdr>
        <w:spacing w:after="300"/>
      </w:pPr>
    </w:p>
    <w:p>
      <w:pPr>
        <w:pStyle w:val="Heading2"/>
      </w:pPr>
      <w:r>
        <w:t xml:space="preserve">Introduction to the Topic</w:t>
      </w:r>
    </w:p>
    <w:p>
      <w:pPr>
        <w:spacing w:after="200" w:line="276"/>
      </w:pPr>
      <w:r>
        <w:t xml:space="preserve">Governments, nonprofits, and social enterprises invest significant resources in programs designed to improve lives—from microfinance initiatives to water access interventions. But how do we know if these programs actually work? More importantly, for whom do they work, and under what conditions? This graduate seminar equips students with rigorous quasi-experimental methods to answer these questions credibly, moving beyond simple “does it work” evaluations toward nuanced understanding of program effectiveness.</w:t>
      </w:r>
    </w:p>
    <w:p>
      <w:pPr>
        <w:pStyle w:val="Heading2"/>
      </w:pPr>
      <w:r>
        <w:t xml:space="preserve">Course Content Overview</w:t>
      </w:r>
    </w:p>
    <w:p>
      <w:pPr>
        <w:spacing w:after="200" w:line="276"/>
      </w:pPr>
      <w:r>
        <w:t xml:space="preserve">The course introduces students to the CART framework (Credible, Actionable, Responsible, Transportable) and builds progressive competency in causal inference methods. Students begin with foundational concepts—selection bias, counterfactual reasoning, and threats to internal validity—before advancing to sophisticated quasi-experimental techniques including propensity score matching, instrumental variables, difference-in-differences, and moderation analysis for heterogeneous treatment effects. Using real-world datasets from programs like Kenya’s GivePower Solar Water Farm intervention, students learn to construct valid comparison groups, address selection bias, and translate statistical findings into actionable program recommendations for non-technical stakeholders.</w:t>
      </w:r>
    </w:p>
    <w:p>
      <w:pPr>
        <w:pStyle w:val="Heading2"/>
      </w:pPr>
      <w:r>
        <w:t xml:space="preserve">Skills and Knowledge</w:t>
      </w:r>
    </w:p>
    <w:p>
      <w:pPr>
        <w:spacing w:after="200" w:line="276"/>
      </w:pPr>
      <w:r>
        <w:t xml:space="preserve">Upon completion, students will be able to design rigorous quasi-experimental evaluations, implement advanced statistical methods in R, assess the credibility of causal claims in evaluation reports, and communicate findings effectively to program managers, funders, and policymakers. The course emphasizes connecting technical rigor with practical interpretation—students learn not only to compute effect estimates but to explain what those estimates mean for program targeting, scaling, and resource allocation decisions.</w:t>
      </w:r>
    </w:p>
    <w:p>
      <w:pPr>
        <w:pStyle w:val="Heading2"/>
      </w:pPr>
      <w:r>
        <w:t xml:space="preserve">Prerequisites</w:t>
      </w:r>
    </w:p>
    <w:p>
      <w:pPr>
        <w:spacing w:after="200" w:line="276"/>
      </w:pPr>
      <w:r>
        <w:t xml:space="preserve">Graduate standing. Foundational knowledge of regression analysis and basic R programming is expected. PA 393K (Statistics and Data Analysis) or equivalent recommended.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Calibri" w:cs="Calibri" w:eastAsia="Calibri" w:hAnsi="Calibri"/>
      <w:b/>
      <w:bCs/>
      <w:sz w:val="28"/>
      <w:szCs w:val="28"/>
    </w:rPr>
  </w:style>
  <w:style w:type="paragraph" w:styleId="Heading2">
    <w:name w:val="Heading 2"/>
    <w:basedOn w:val="Normal"/>
    <w:next w:val="Normal"/>
    <w:qFormat/>
    <w:pPr>
      <w:spacing w:after="80" w:before="200"/>
      <w:outlineLvl w:val="1"/>
    </w:pPr>
    <w:rPr>
      <w:rFonts w:ascii="Calibri" w:cs="Calibri" w:eastAsia="Calibri" w:hAnsi="Calibri"/>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2026-03-12T05:58:54.671Z</dcterms:created>
  <dcterms:modified xsi:type="dcterms:W3CDTF">2026-03-12T05:58:54.672Z</dcterms:modified>
</cp:coreProperties>
</file>

<file path=docProps/custom.xml><?xml version="1.0" encoding="utf-8"?>
<Properties xmlns="http://schemas.openxmlformats.org/officeDocument/2006/custom-properties" xmlns:vt="http://schemas.openxmlformats.org/officeDocument/2006/docPropsVTypes"/>
</file>