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D0" w:rsidRDefault="002475D0"/>
    <w:p w:rsidR="009308AF" w:rsidRDefault="009308AF" w:rsidP="00164CC3">
      <w:pPr>
        <w:jc w:val="center"/>
        <w:rPr>
          <w:b/>
          <w:sz w:val="28"/>
          <w:szCs w:val="28"/>
        </w:rPr>
      </w:pPr>
    </w:p>
    <w:p w:rsidR="009308AF" w:rsidRDefault="009A4040" w:rsidP="00164CC3">
      <w:pPr>
        <w:jc w:val="center"/>
        <w:rPr>
          <w:b/>
          <w:sz w:val="28"/>
          <w:szCs w:val="28"/>
        </w:rPr>
      </w:pPr>
      <w:r>
        <w:rPr>
          <w:b/>
          <w:sz w:val="28"/>
          <w:szCs w:val="28"/>
        </w:rPr>
        <w:t>Advanced Empirical Methods for Policy Analysi</w:t>
      </w:r>
      <w:r w:rsidR="009308AF" w:rsidRPr="009308AF">
        <w:rPr>
          <w:b/>
          <w:sz w:val="28"/>
          <w:szCs w:val="28"/>
        </w:rPr>
        <w:t>s</w:t>
      </w:r>
    </w:p>
    <w:p w:rsidR="009A4040" w:rsidRPr="009A4040" w:rsidRDefault="009A4040" w:rsidP="00164CC3">
      <w:pPr>
        <w:jc w:val="center"/>
        <w:rPr>
          <w:b/>
        </w:rPr>
      </w:pPr>
      <w:r w:rsidRPr="009A4040">
        <w:rPr>
          <w:b/>
        </w:rPr>
        <w:t>Quantitative Methods for Management</w:t>
      </w:r>
    </w:p>
    <w:p w:rsidR="00164CC3" w:rsidRDefault="00164CC3" w:rsidP="00164CC3">
      <w:pPr>
        <w:rPr>
          <w:b/>
        </w:rPr>
      </w:pPr>
    </w:p>
    <w:p w:rsidR="00164CC3" w:rsidRDefault="003B5817" w:rsidP="00164CC3">
      <w:pPr>
        <w:rPr>
          <w:b/>
        </w:rPr>
      </w:pPr>
      <w:r>
        <w:rPr>
          <w:b/>
        </w:rPr>
        <w:t>Faculty Contact Information</w:t>
      </w:r>
    </w:p>
    <w:p w:rsidR="003B5817" w:rsidRPr="003B5817" w:rsidRDefault="003B5817" w:rsidP="00164CC3">
      <w:r w:rsidRPr="003B5817">
        <w:t>Todd Olmstead</w:t>
      </w:r>
      <w:r w:rsidRPr="003B5817">
        <w:tab/>
      </w:r>
      <w:r w:rsidR="001D7FBF">
        <w:t>SRH 3.237</w:t>
      </w:r>
    </w:p>
    <w:p w:rsidR="003B5817" w:rsidRPr="0094662F" w:rsidRDefault="003B5817" w:rsidP="00164CC3">
      <w:r w:rsidRPr="0004645D">
        <w:tab/>
      </w:r>
      <w:r w:rsidRPr="0004645D">
        <w:tab/>
      </w:r>
      <w:r w:rsidRPr="0004645D">
        <w:tab/>
      </w:r>
      <w:hyperlink r:id="rId8" w:history="1">
        <w:r w:rsidR="000E211E" w:rsidRPr="0094662F">
          <w:rPr>
            <w:rStyle w:val="Hyperlink"/>
            <w:u w:val="none"/>
          </w:rPr>
          <w:t>tolmstead@austin.utexas.edu</w:t>
        </w:r>
      </w:hyperlink>
    </w:p>
    <w:p w:rsidR="003B5817" w:rsidRPr="003B5817" w:rsidRDefault="006F1610" w:rsidP="00164CC3">
      <w:r>
        <w:tab/>
      </w:r>
      <w:r>
        <w:tab/>
      </w:r>
      <w:r>
        <w:tab/>
      </w:r>
      <w:r w:rsidR="001D7FBF">
        <w:t>512</w:t>
      </w:r>
      <w:r>
        <w:t>.</w:t>
      </w:r>
      <w:r w:rsidR="001D7FBF">
        <w:t>471</w:t>
      </w:r>
      <w:r>
        <w:t>.8</w:t>
      </w:r>
      <w:r w:rsidR="001D7FBF">
        <w:t>45</w:t>
      </w:r>
      <w:r>
        <w:t>6</w:t>
      </w:r>
    </w:p>
    <w:p w:rsidR="00164CC3" w:rsidRDefault="00BD4D87" w:rsidP="00BD4D87">
      <w:pPr>
        <w:tabs>
          <w:tab w:val="left" w:pos="720"/>
          <w:tab w:val="left" w:pos="1440"/>
          <w:tab w:val="left" w:pos="2160"/>
          <w:tab w:val="left" w:pos="3240"/>
        </w:tabs>
      </w:pPr>
      <w:r>
        <w:t>Office hours:</w:t>
      </w:r>
      <w:r>
        <w:tab/>
      </w:r>
      <w:r>
        <w:tab/>
      </w:r>
      <w:r w:rsidR="00F14BA6">
        <w:t>Wednes</w:t>
      </w:r>
      <w:r w:rsidR="001D7FBF">
        <w:t xml:space="preserve">days </w:t>
      </w:r>
      <w:r w:rsidR="00F14BA6">
        <w:t>1</w:t>
      </w:r>
      <w:r w:rsidR="009A4040">
        <w:t>2</w:t>
      </w:r>
      <w:r w:rsidR="001D7FBF">
        <w:t>-</w:t>
      </w:r>
      <w:r w:rsidR="009A4040">
        <w:t xml:space="preserve">2pm; Fridays 12-2pm; </w:t>
      </w:r>
      <w:r w:rsidR="001D7FBF">
        <w:t>or by appointment</w:t>
      </w:r>
      <w:r>
        <w:tab/>
      </w:r>
    </w:p>
    <w:p w:rsidR="003B5817" w:rsidRDefault="003B5817"/>
    <w:p w:rsidR="00164CC3" w:rsidRDefault="001F0311">
      <w:pPr>
        <w:rPr>
          <w:b/>
        </w:rPr>
      </w:pPr>
      <w:r w:rsidRPr="001F0311">
        <w:rPr>
          <w:b/>
        </w:rPr>
        <w:t>Overview</w:t>
      </w:r>
    </w:p>
    <w:p w:rsidR="00C32A10" w:rsidRDefault="00C32A10" w:rsidP="003C2D93">
      <w:r>
        <w:t xml:space="preserve">This course surveys a variety of management science methods useful to managers and analysts that were not covered </w:t>
      </w:r>
      <w:r w:rsidR="00753410">
        <w:t>in your IEM course.  The emphase</w:t>
      </w:r>
      <w:r>
        <w:t xml:space="preserve">s will be on (a) </w:t>
      </w:r>
      <w:r w:rsidRPr="00C32A10">
        <w:rPr>
          <w:i/>
        </w:rPr>
        <w:t>formulating</w:t>
      </w:r>
      <w:r>
        <w:t xml:space="preserve"> mathematical models of messy problems found in the public and non-profit sectors, (b) </w:t>
      </w:r>
      <w:r w:rsidRPr="00C32A10">
        <w:rPr>
          <w:i/>
        </w:rPr>
        <w:t>solving</w:t>
      </w:r>
      <w:r>
        <w:t xml:space="preserve"> the formulations using Excel, and (c) </w:t>
      </w:r>
      <w:r w:rsidRPr="00C32A10">
        <w:rPr>
          <w:i/>
        </w:rPr>
        <w:t>presenting</w:t>
      </w:r>
      <w:r>
        <w:t xml:space="preserve"> the results in a way that decision makers can understand.</w:t>
      </w:r>
    </w:p>
    <w:p w:rsidR="00C32A10" w:rsidRDefault="00C32A10" w:rsidP="003C2D93"/>
    <w:p w:rsidR="00C32A10" w:rsidRPr="00C32A10" w:rsidRDefault="00C32A10" w:rsidP="003C2D93">
      <w:pPr>
        <w:rPr>
          <w:b/>
        </w:rPr>
      </w:pPr>
      <w:r w:rsidRPr="00C32A10">
        <w:rPr>
          <w:b/>
        </w:rPr>
        <w:t>Learning Outcomes</w:t>
      </w:r>
    </w:p>
    <w:p w:rsidR="00276A5E" w:rsidRDefault="00276A5E" w:rsidP="003C2D93">
      <w:r>
        <w:t xml:space="preserve">By the end of the semester, students should have a firm </w:t>
      </w:r>
      <w:r w:rsidRPr="0057147F">
        <w:rPr>
          <w:i/>
        </w:rPr>
        <w:t>understanding of…</w:t>
      </w:r>
    </w:p>
    <w:p w:rsidR="0057147F" w:rsidRDefault="0057147F" w:rsidP="00276A5E">
      <w:pPr>
        <w:pStyle w:val="ListParagraph"/>
        <w:numPr>
          <w:ilvl w:val="0"/>
          <w:numId w:val="12"/>
        </w:numPr>
      </w:pPr>
      <w:r>
        <w:t xml:space="preserve">the </w:t>
      </w:r>
      <w:r w:rsidR="00CC72B3">
        <w:t>st</w:t>
      </w:r>
      <w:r>
        <w:t>ructure underlying a wide variety of mathematical models, including the assumptions and limitations of each model;</w:t>
      </w:r>
    </w:p>
    <w:p w:rsidR="0057147F" w:rsidRDefault="0057147F" w:rsidP="00276A5E">
      <w:pPr>
        <w:pStyle w:val="ListParagraph"/>
        <w:numPr>
          <w:ilvl w:val="0"/>
          <w:numId w:val="12"/>
        </w:numPr>
      </w:pPr>
      <w:r>
        <w:t>the importance of judgment in building, analyzing, and interpreting the results of mathematical models; and</w:t>
      </w:r>
    </w:p>
    <w:p w:rsidR="00276A5E" w:rsidRDefault="0057147F" w:rsidP="00276A5E">
      <w:pPr>
        <w:pStyle w:val="ListParagraph"/>
        <w:numPr>
          <w:ilvl w:val="0"/>
          <w:numId w:val="12"/>
        </w:numPr>
      </w:pPr>
      <w:r>
        <w:t>the “ins and outs” of Excel</w:t>
      </w:r>
      <w:r w:rsidR="00D935C1">
        <w:t>.</w:t>
      </w:r>
    </w:p>
    <w:p w:rsidR="00C32A10" w:rsidRDefault="00C32A10" w:rsidP="003C2D93">
      <w:r>
        <w:t>By the end of the semes</w:t>
      </w:r>
      <w:r w:rsidR="00276A5E">
        <w:t xml:space="preserve">ter, students should </w:t>
      </w:r>
      <w:r w:rsidR="00276A5E" w:rsidRPr="0057147F">
        <w:rPr>
          <w:i/>
        </w:rPr>
        <w:t>be able to…</w:t>
      </w:r>
    </w:p>
    <w:p w:rsidR="0057147F" w:rsidRDefault="0057147F" w:rsidP="00276A5E">
      <w:pPr>
        <w:pStyle w:val="ListParagraph"/>
        <w:numPr>
          <w:ilvl w:val="0"/>
          <w:numId w:val="11"/>
        </w:numPr>
      </w:pPr>
      <w:r>
        <w:t>interpret the results of mathematical models used in public policy research done by others;</w:t>
      </w:r>
    </w:p>
    <w:p w:rsidR="0057147F" w:rsidRDefault="0057147F" w:rsidP="00276A5E">
      <w:pPr>
        <w:pStyle w:val="ListParagraph"/>
        <w:numPr>
          <w:ilvl w:val="0"/>
          <w:numId w:val="11"/>
        </w:numPr>
      </w:pPr>
      <w:r>
        <w:t xml:space="preserve">use appropriate mathematical models in their own work; and </w:t>
      </w:r>
    </w:p>
    <w:p w:rsidR="00276A5E" w:rsidRDefault="0057147F" w:rsidP="00276A5E">
      <w:pPr>
        <w:pStyle w:val="ListParagraph"/>
        <w:numPr>
          <w:ilvl w:val="0"/>
          <w:numId w:val="11"/>
        </w:numPr>
      </w:pPr>
      <w:r>
        <w:t xml:space="preserve">present the results of mathematical models effectively. </w:t>
      </w:r>
    </w:p>
    <w:p w:rsidR="002E5773" w:rsidRDefault="002E5773" w:rsidP="002E5773"/>
    <w:p w:rsidR="0057147F" w:rsidRPr="000B7884" w:rsidRDefault="000B7884" w:rsidP="002E5773">
      <w:pPr>
        <w:rPr>
          <w:b/>
        </w:rPr>
      </w:pPr>
      <w:r w:rsidRPr="000B7884">
        <w:rPr>
          <w:b/>
        </w:rPr>
        <w:t>Pre-requisites</w:t>
      </w:r>
    </w:p>
    <w:p w:rsidR="0057147F" w:rsidRDefault="000B7884" w:rsidP="00C53C43">
      <w:pPr>
        <w:pStyle w:val="ListParagraph"/>
        <w:numPr>
          <w:ilvl w:val="0"/>
          <w:numId w:val="14"/>
        </w:numPr>
      </w:pPr>
      <w:r>
        <w:t>Successful completion of PA397 – Introduction to Empirical Methods for Policy Analysis, or equivalent course.</w:t>
      </w:r>
    </w:p>
    <w:p w:rsidR="000B7884" w:rsidRDefault="000B7884" w:rsidP="00C53C43">
      <w:pPr>
        <w:pStyle w:val="ListParagraph"/>
        <w:numPr>
          <w:ilvl w:val="0"/>
          <w:numId w:val="14"/>
        </w:numPr>
      </w:pPr>
      <w:r>
        <w:t>Familiarity with Excel</w:t>
      </w:r>
      <w:r w:rsidR="00C53C43">
        <w:t>.</w:t>
      </w:r>
    </w:p>
    <w:p w:rsidR="0057147F" w:rsidRDefault="0057147F" w:rsidP="002E5773"/>
    <w:p w:rsidR="0057147F" w:rsidRPr="00C53C43" w:rsidRDefault="00C53C43" w:rsidP="002E5773">
      <w:pPr>
        <w:rPr>
          <w:b/>
        </w:rPr>
      </w:pPr>
      <w:r w:rsidRPr="00C53C43">
        <w:rPr>
          <w:b/>
        </w:rPr>
        <w:t>Grading</w:t>
      </w:r>
    </w:p>
    <w:p w:rsidR="00C53C43" w:rsidRDefault="003C791B" w:rsidP="002E5773">
      <w:r>
        <w:t>Grades will be based on four</w:t>
      </w:r>
      <w:r w:rsidR="00C53C43">
        <w:t xml:space="preserve"> problem sets (</w:t>
      </w:r>
      <w:r>
        <w:t>4</w:t>
      </w:r>
      <w:r w:rsidR="00C53C43">
        <w:t>0%), a mid-term exam (</w:t>
      </w:r>
      <w:r>
        <w:t>3</w:t>
      </w:r>
      <w:r w:rsidR="00C53C43">
        <w:t>0%), and a final</w:t>
      </w:r>
      <w:r>
        <w:t xml:space="preserve"> group project</w:t>
      </w:r>
      <w:r w:rsidR="00C53C43">
        <w:t xml:space="preserve"> (30%). </w:t>
      </w:r>
    </w:p>
    <w:p w:rsidR="00D74FA4" w:rsidRDefault="00D74FA4" w:rsidP="00D74FA4"/>
    <w:p w:rsidR="00D74FA4" w:rsidRDefault="00D74FA4" w:rsidP="00D74FA4">
      <w:r>
        <w:t>Students are encouraged to form regular study groups to work together on problem sets.  Groups o</w:t>
      </w:r>
      <w:r w:rsidR="00BF0C68">
        <w:t>f</w:t>
      </w:r>
      <w:r>
        <w:t xml:space="preserve"> two to four students work best.  With more participants, some members invariably do a lot more listening and following than thinking and contributing.</w:t>
      </w:r>
    </w:p>
    <w:p w:rsidR="00D74FA4" w:rsidRDefault="00D74FA4" w:rsidP="00D74FA4"/>
    <w:p w:rsidR="00D74FA4" w:rsidRDefault="00D74FA4" w:rsidP="00D74FA4">
      <w:r>
        <w:t xml:space="preserve">Problem sets should reflect each student’s own work and understanding of the material.  Students working in groups are expected to submit their own assignments and acknowledge with whom </w:t>
      </w:r>
      <w:r>
        <w:lastRenderedPageBreak/>
        <w:t xml:space="preserve">they have worked.  In other words, although you are encouraged to work together in determining the approach to a problem, your final analysis and the presentation of results must be your own work.    </w:t>
      </w:r>
    </w:p>
    <w:p w:rsidR="00D74FA4" w:rsidRDefault="00D74FA4" w:rsidP="00D74FA4"/>
    <w:p w:rsidR="00D74FA4" w:rsidRDefault="00D74FA4" w:rsidP="00D74FA4">
      <w:r>
        <w:t>No collaboration of any kind is permitted on the exams - the exams are individual work only.</w:t>
      </w:r>
    </w:p>
    <w:p w:rsidR="00272D5B" w:rsidRDefault="00272D5B" w:rsidP="002E5773"/>
    <w:p w:rsidR="00494407" w:rsidRPr="00494407" w:rsidRDefault="00494407" w:rsidP="002E5773">
      <w:pPr>
        <w:rPr>
          <w:b/>
        </w:rPr>
      </w:pPr>
      <w:r w:rsidRPr="00494407">
        <w:rPr>
          <w:b/>
        </w:rPr>
        <w:t>Class Meetings</w:t>
      </w:r>
    </w:p>
    <w:p w:rsidR="00494407" w:rsidRDefault="00427B5B" w:rsidP="002E5773">
      <w:r>
        <w:t xml:space="preserve">PA397C </w:t>
      </w:r>
      <w:r w:rsidR="008B4CED">
        <w:t xml:space="preserve">is </w:t>
      </w:r>
      <w:r w:rsidR="00494407">
        <w:t>conducted using a “flipped” format.</w:t>
      </w:r>
      <w:r w:rsidR="00FA5A5C">
        <w:t xml:space="preserve">  Students are to complete all required readings and assigned exercises </w:t>
      </w:r>
      <w:r w:rsidR="00FA5A5C" w:rsidRPr="00FA5A5C">
        <w:rPr>
          <w:b/>
        </w:rPr>
        <w:t>prior</w:t>
      </w:r>
      <w:r w:rsidR="00FA5A5C">
        <w:t xml:space="preserve"> to class.</w:t>
      </w:r>
      <w:r>
        <w:t xml:space="preserve">  Relatively little class time will be spent lecturing.  Rather,</w:t>
      </w:r>
      <w:r w:rsidR="00FA5A5C">
        <w:t xml:space="preserve"> c</w:t>
      </w:r>
      <w:r w:rsidR="00494407">
        <w:t>lass time will be devoted to demonstrating, discu</w:t>
      </w:r>
      <w:bookmarkStart w:id="0" w:name="_GoBack"/>
      <w:bookmarkEnd w:id="0"/>
      <w:r w:rsidR="00494407">
        <w:t xml:space="preserve">ssing, and practicing the concepts </w:t>
      </w:r>
      <w:r w:rsidR="00FA5A5C">
        <w:t xml:space="preserve">covered </w:t>
      </w:r>
      <w:r w:rsidR="00494407">
        <w:t xml:space="preserve">in the </w:t>
      </w:r>
      <w:r w:rsidR="00FA5A5C">
        <w:t xml:space="preserve">assigned </w:t>
      </w:r>
      <w:r w:rsidR="00494407">
        <w:t>readings and assigned exercises.</w:t>
      </w:r>
      <w:r w:rsidR="000F0AB5">
        <w:t xml:space="preserve">  In-class attendance is expected.</w:t>
      </w:r>
    </w:p>
    <w:p w:rsidR="00494407" w:rsidRDefault="00494407" w:rsidP="002E5773"/>
    <w:p w:rsidR="00F30C53" w:rsidRPr="00E75DBC" w:rsidRDefault="00F30C53" w:rsidP="002E5773">
      <w:pPr>
        <w:rPr>
          <w:b/>
        </w:rPr>
      </w:pPr>
      <w:r w:rsidRPr="00E75DBC">
        <w:rPr>
          <w:b/>
        </w:rPr>
        <w:t>Class Preparation</w:t>
      </w:r>
    </w:p>
    <w:p w:rsidR="00E75DBC" w:rsidRDefault="00E75DBC" w:rsidP="002E5773">
      <w:r>
        <w:t xml:space="preserve">PA397C is a challenging course that moves rapidly.  </w:t>
      </w:r>
      <w:r w:rsidRPr="00E75DBC">
        <w:rPr>
          <w:b/>
        </w:rPr>
        <w:t xml:space="preserve">Preparation for each class is essential. </w:t>
      </w:r>
      <w:r>
        <w:t xml:space="preserve"> </w:t>
      </w:r>
      <w:r w:rsidR="00FA5A5C">
        <w:t>Given the flipped format, c</w:t>
      </w:r>
      <w:r>
        <w:t>lass meetings will be most productive if everyone has done the required reading and</w:t>
      </w:r>
      <w:r w:rsidR="003A0D00">
        <w:t xml:space="preserve"> worked through the assigned</w:t>
      </w:r>
      <w:r>
        <w:t xml:space="preserve"> </w:t>
      </w:r>
      <w:r w:rsidR="00494407">
        <w:t>exercise</w:t>
      </w:r>
      <w:r>
        <w:t>s</w:t>
      </w:r>
      <w:r w:rsidR="00BF0C68">
        <w:t xml:space="preserve"> (either alone or as part of a study group) </w:t>
      </w:r>
      <w:r w:rsidRPr="00E75DBC">
        <w:rPr>
          <w:b/>
        </w:rPr>
        <w:t>before</w:t>
      </w:r>
      <w:r>
        <w:t xml:space="preserve"> class.  </w:t>
      </w:r>
    </w:p>
    <w:p w:rsidR="00E75DBC" w:rsidRDefault="00E75DBC" w:rsidP="002E5773"/>
    <w:p w:rsidR="005F65F4" w:rsidRPr="005F65F4" w:rsidRDefault="007A523A" w:rsidP="002E5773">
      <w:pPr>
        <w:rPr>
          <w:b/>
        </w:rPr>
      </w:pPr>
      <w:r>
        <w:rPr>
          <w:b/>
        </w:rPr>
        <w:t xml:space="preserve">Course </w:t>
      </w:r>
      <w:r w:rsidR="005F65F4" w:rsidRPr="005F65F4">
        <w:rPr>
          <w:b/>
        </w:rPr>
        <w:t>Materials</w:t>
      </w:r>
    </w:p>
    <w:p w:rsidR="007A523A" w:rsidRPr="000A375D" w:rsidRDefault="007A523A" w:rsidP="007A523A">
      <w:pPr>
        <w:pStyle w:val="ListParagraph"/>
        <w:numPr>
          <w:ilvl w:val="0"/>
          <w:numId w:val="15"/>
        </w:numPr>
        <w:rPr>
          <w:u w:val="single"/>
        </w:rPr>
      </w:pPr>
      <w:r>
        <w:rPr>
          <w:u w:val="single"/>
        </w:rPr>
        <w:t>Quantitative Decision Making with Spreadsheet Applications (7</w:t>
      </w:r>
      <w:r w:rsidRPr="007A523A">
        <w:rPr>
          <w:u w:val="single"/>
          <w:vertAlign w:val="superscript"/>
        </w:rPr>
        <w:t>th</w:t>
      </w:r>
      <w:r>
        <w:rPr>
          <w:u w:val="single"/>
        </w:rPr>
        <w:t xml:space="preserve"> ed.)</w:t>
      </w:r>
      <w:r>
        <w:t>, Lapin, Lawrence and Whisler, William, Duxbury Press, Thompson Learning, Inc., Belmont, CA. 2002</w:t>
      </w:r>
      <w:r w:rsidR="00CC72B3">
        <w:t>.</w:t>
      </w:r>
      <w:r w:rsidR="00335283">
        <w:t xml:space="preserve">  ISBN-10: 0534380247.</w:t>
      </w:r>
      <w:r w:rsidR="000A375D">
        <w:t xml:space="preserve">  The text is </w:t>
      </w:r>
      <w:r w:rsidR="000A375D" w:rsidRPr="00335283">
        <w:rPr>
          <w:b/>
        </w:rPr>
        <w:t>required</w:t>
      </w:r>
      <w:r w:rsidR="000A375D">
        <w:t xml:space="preserve"> and is available from a variety of online booksellers.  The CD that accompanies the text is </w:t>
      </w:r>
      <w:r w:rsidR="000A375D" w:rsidRPr="00335283">
        <w:rPr>
          <w:b/>
        </w:rPr>
        <w:t>NOT</w:t>
      </w:r>
      <w:r w:rsidR="000A375D">
        <w:t xml:space="preserve"> required, so used copies of the text are fine.</w:t>
      </w:r>
    </w:p>
    <w:p w:rsidR="000A375D" w:rsidRPr="007A523A" w:rsidRDefault="000A375D" w:rsidP="000A375D">
      <w:pPr>
        <w:pStyle w:val="ListParagraph"/>
        <w:rPr>
          <w:u w:val="single"/>
        </w:rPr>
      </w:pPr>
    </w:p>
    <w:p w:rsidR="007A523A" w:rsidRPr="007A523A" w:rsidRDefault="007A523A" w:rsidP="007A523A">
      <w:pPr>
        <w:pStyle w:val="ListParagraph"/>
        <w:numPr>
          <w:ilvl w:val="0"/>
          <w:numId w:val="15"/>
        </w:numPr>
        <w:rPr>
          <w:u w:val="single"/>
        </w:rPr>
      </w:pPr>
      <w:r>
        <w:t>MS-Excel spreadsheet software with Solver add-in.</w:t>
      </w:r>
    </w:p>
    <w:p w:rsidR="007A523A" w:rsidRDefault="007A523A" w:rsidP="005F65F4">
      <w:pPr>
        <w:rPr>
          <w:u w:val="single"/>
        </w:rPr>
      </w:pPr>
    </w:p>
    <w:p w:rsidR="005E0018" w:rsidRPr="005E0018" w:rsidRDefault="005E0018" w:rsidP="005F65F4">
      <w:r>
        <w:t>The text and software will be supplemented as needed by a variety of materials</w:t>
      </w:r>
      <w:r w:rsidR="0099506A">
        <w:t xml:space="preserve"> available on Canvas</w:t>
      </w:r>
      <w:r>
        <w:t>.</w:t>
      </w:r>
    </w:p>
    <w:p w:rsidR="005E0018" w:rsidRDefault="005E0018" w:rsidP="005F65F4">
      <w:pPr>
        <w:rPr>
          <w:u w:val="single"/>
        </w:rPr>
      </w:pPr>
    </w:p>
    <w:p w:rsidR="00C26CA9" w:rsidRPr="00FB3F95" w:rsidRDefault="00FB3F95">
      <w:pPr>
        <w:rPr>
          <w:b/>
        </w:rPr>
      </w:pPr>
      <w:r w:rsidRPr="00FB3F95">
        <w:rPr>
          <w:b/>
        </w:rPr>
        <w:t>University Policies</w:t>
      </w:r>
    </w:p>
    <w:p w:rsidR="00C26CA9" w:rsidRDefault="00FB3F95">
      <w:r w:rsidRPr="00FB3F95">
        <w:rPr>
          <w:i/>
        </w:rPr>
        <w:t>Students with Disabilities:</w:t>
      </w:r>
      <w:r>
        <w:t xml:space="preserve"> Students with disabilities may request appropriate academic accommodations from the Division of Diversity and Community Engagement, Services for Students with Disabilities, 512-471-6259, </w:t>
      </w:r>
      <w:hyperlink r:id="rId9" w:history="1">
        <w:r>
          <w:rPr>
            <w:rStyle w:val="Hyperlink"/>
          </w:rPr>
          <w:t>http://www.utexas.edu/diversity/ddce/ssd/</w:t>
        </w:r>
      </w:hyperlink>
      <w:r w:rsidR="00913703">
        <w:t>.</w:t>
      </w:r>
      <w:r>
        <w:br/>
      </w:r>
    </w:p>
    <w:p w:rsidR="00FB3F95" w:rsidRDefault="00FB3F95">
      <w:r w:rsidRPr="00FB3F95">
        <w:rPr>
          <w:i/>
        </w:rPr>
        <w:t>Academic Dishonesty:</w:t>
      </w:r>
      <w:r>
        <w:t xml:space="preserve"> The UT Honor Code (or statement of ethics) and an explanation or example of what constitutes plagiarism can be found at: </w:t>
      </w:r>
      <w:hyperlink r:id="rId10" w:anchor="universitycodeofconduct" w:history="1">
        <w:r>
          <w:rPr>
            <w:rStyle w:val="Hyperlink"/>
          </w:rPr>
          <w:t>http://catalog.utexas.edu/general-information/the-university/#universitycodeofconduct</w:t>
        </w:r>
      </w:hyperlink>
      <w:r w:rsidR="00913703">
        <w:t>.</w:t>
      </w:r>
      <w:r>
        <w:br/>
      </w:r>
    </w:p>
    <w:p w:rsidR="00FB3F95" w:rsidRDefault="00FB3F95">
      <w:r w:rsidRPr="00FB3F95">
        <w:rPr>
          <w:i/>
        </w:rPr>
        <w:t xml:space="preserve">Religious Holidays: </w:t>
      </w:r>
      <w:r>
        <w:t>By UT Austin policy, you must notify me of your pending absence at least fourteen days prior to the date of observance of a religious holy day.  If you must miss a class, a work assignment, or a project in order to observe a religious holy day, you will be given an opportunity to complete the missed work within a reasonable time after the absence.</w:t>
      </w:r>
    </w:p>
    <w:p w:rsidR="00FB3F95" w:rsidRDefault="00FB3F95"/>
    <w:p w:rsidR="00EA19A2" w:rsidRDefault="00FB3F95" w:rsidP="00EA19A2">
      <w:pPr>
        <w:rPr>
          <w:sz w:val="20"/>
          <w:szCs w:val="20"/>
        </w:rPr>
      </w:pPr>
      <w:r w:rsidRPr="00FB3F95">
        <w:rPr>
          <w:i/>
        </w:rPr>
        <w:t>Emergency Evacuations:</w:t>
      </w:r>
      <w:r>
        <w:t xml:space="preserve"> Occupants of buildings on The University of Texas at Austin campus are required to evacuate buildings when a fire alarm is activated. Alarm activation or </w:t>
      </w:r>
      <w:r>
        <w:lastRenderedPageBreak/>
        <w:t>announcement requires exiting and assembling outside.  Familiarize yourself with all exit doors of each classroom and building you may occupy.  Remember that the nearest exit door may not be the one you used when entering the building.  Students requiring assistance in evacuation shall inform their instructor in writing during the first week of class.  In the event of an evacuation, follow the instruction of faculty or class instructors.  Do not re-enter a building unless given instructions by the following: Austin Fire Department, The University of Texas at Austin Police Department, or Fire Prevention Services office.  Link to information regarding emergency evacuation routes and emerg</w:t>
      </w:r>
      <w:r w:rsidR="00EA19A2">
        <w:t>ency procedures can be found at</w:t>
      </w:r>
      <w:r>
        <w:t xml:space="preserve"> </w:t>
      </w:r>
      <w:hyperlink r:id="rId11" w:history="1">
        <w:r w:rsidR="00913703" w:rsidRPr="00EA19A2">
          <w:rPr>
            <w:rStyle w:val="Hyperlink"/>
            <w:sz w:val="20"/>
            <w:szCs w:val="20"/>
          </w:rPr>
          <w:t>www.utexas.edu/emergency</w:t>
        </w:r>
      </w:hyperlink>
      <w:r w:rsidR="00EA19A2">
        <w:rPr>
          <w:sz w:val="20"/>
          <w:szCs w:val="20"/>
        </w:rPr>
        <w:t>.</w:t>
      </w:r>
    </w:p>
    <w:p w:rsidR="00D75480" w:rsidRDefault="00D75480">
      <w:pPr>
        <w:rPr>
          <w:b/>
        </w:rPr>
      </w:pPr>
      <w:r>
        <w:rPr>
          <w:b/>
        </w:rPr>
        <w:br w:type="page"/>
      </w:r>
    </w:p>
    <w:p w:rsidR="0064514F" w:rsidRDefault="0064514F" w:rsidP="00EA19A2">
      <w:pPr>
        <w:jc w:val="center"/>
        <w:rPr>
          <w:b/>
        </w:rPr>
      </w:pPr>
      <w:r w:rsidRPr="0064514F">
        <w:rPr>
          <w:b/>
        </w:rPr>
        <w:lastRenderedPageBreak/>
        <w:t>TENTATIVE SCHEDULE</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900"/>
        <w:gridCol w:w="6480"/>
        <w:gridCol w:w="1692"/>
      </w:tblGrid>
      <w:tr w:rsidR="00AD53E5" w:rsidRPr="00785CE9" w:rsidTr="00651FF5">
        <w:tc>
          <w:tcPr>
            <w:tcW w:w="828" w:type="dxa"/>
          </w:tcPr>
          <w:p w:rsidR="00AD53E5" w:rsidRPr="00785CE9" w:rsidRDefault="00AD53E5" w:rsidP="00D82FB3">
            <w:pPr>
              <w:jc w:val="center"/>
              <w:rPr>
                <w:b/>
                <w:u w:val="single"/>
              </w:rPr>
            </w:pPr>
          </w:p>
          <w:p w:rsidR="00AD53E5" w:rsidRPr="00785CE9" w:rsidRDefault="00AD53E5" w:rsidP="00D82FB3">
            <w:pPr>
              <w:jc w:val="center"/>
              <w:rPr>
                <w:b/>
                <w:u w:val="single"/>
              </w:rPr>
            </w:pPr>
            <w:r w:rsidRPr="00785CE9">
              <w:rPr>
                <w:b/>
                <w:u w:val="single"/>
              </w:rPr>
              <w:t>Class</w:t>
            </w:r>
          </w:p>
        </w:tc>
        <w:tc>
          <w:tcPr>
            <w:tcW w:w="900" w:type="dxa"/>
          </w:tcPr>
          <w:p w:rsidR="00AD53E5" w:rsidRPr="00785CE9" w:rsidRDefault="00AD53E5" w:rsidP="00D82FB3">
            <w:pPr>
              <w:jc w:val="center"/>
              <w:rPr>
                <w:b/>
                <w:u w:val="single"/>
              </w:rPr>
            </w:pPr>
          </w:p>
          <w:p w:rsidR="00AD53E5" w:rsidRPr="00785CE9" w:rsidRDefault="00AD53E5" w:rsidP="00D82FB3">
            <w:pPr>
              <w:jc w:val="center"/>
              <w:rPr>
                <w:b/>
                <w:u w:val="single"/>
              </w:rPr>
            </w:pPr>
            <w:r w:rsidRPr="00785CE9">
              <w:rPr>
                <w:b/>
                <w:u w:val="single"/>
              </w:rPr>
              <w:t>Date</w:t>
            </w:r>
          </w:p>
        </w:tc>
        <w:tc>
          <w:tcPr>
            <w:tcW w:w="6480" w:type="dxa"/>
            <w:tcBorders>
              <w:bottom w:val="single" w:sz="12" w:space="0" w:color="auto"/>
            </w:tcBorders>
          </w:tcPr>
          <w:p w:rsidR="00AD53E5" w:rsidRPr="000D086A" w:rsidRDefault="00AD53E5" w:rsidP="00D82FB3">
            <w:pPr>
              <w:rPr>
                <w:b/>
                <w:sz w:val="20"/>
                <w:szCs w:val="20"/>
                <w:u w:val="single"/>
              </w:rPr>
            </w:pPr>
          </w:p>
          <w:p w:rsidR="00AD53E5" w:rsidRPr="00A601DC" w:rsidRDefault="00AD53E5" w:rsidP="00D82FB3">
            <w:pPr>
              <w:tabs>
                <w:tab w:val="left" w:pos="1635"/>
                <w:tab w:val="center" w:pos="3132"/>
              </w:tabs>
              <w:rPr>
                <w:b/>
              </w:rPr>
            </w:pPr>
            <w:r>
              <w:rPr>
                <w:b/>
              </w:rPr>
              <w:tab/>
            </w:r>
            <w:r>
              <w:rPr>
                <w:b/>
              </w:rPr>
              <w:tab/>
            </w:r>
            <w:r w:rsidRPr="00A601DC">
              <w:rPr>
                <w:b/>
              </w:rPr>
              <w:t>Subject/</w:t>
            </w:r>
            <w:r w:rsidRPr="00A601DC">
              <w:rPr>
                <w:b/>
                <w:i/>
              </w:rPr>
              <w:t>Reading</w:t>
            </w:r>
          </w:p>
        </w:tc>
        <w:tc>
          <w:tcPr>
            <w:tcW w:w="1692" w:type="dxa"/>
          </w:tcPr>
          <w:p w:rsidR="00AD53E5" w:rsidRDefault="00AD53E5" w:rsidP="00AD53E5">
            <w:pPr>
              <w:jc w:val="center"/>
              <w:rPr>
                <w:b/>
                <w:u w:val="single"/>
              </w:rPr>
            </w:pPr>
          </w:p>
          <w:p w:rsidR="00AD53E5" w:rsidRPr="00785CE9" w:rsidRDefault="00AD53E5" w:rsidP="00AD53E5">
            <w:pPr>
              <w:jc w:val="center"/>
              <w:rPr>
                <w:b/>
                <w:u w:val="single"/>
              </w:rPr>
            </w:pPr>
            <w:r>
              <w:rPr>
                <w:b/>
                <w:u w:val="single"/>
              </w:rPr>
              <w:t>Assignment</w:t>
            </w:r>
          </w:p>
        </w:tc>
      </w:tr>
      <w:tr w:rsidR="00AD53E5" w:rsidTr="00651FF5">
        <w:tc>
          <w:tcPr>
            <w:tcW w:w="828" w:type="dxa"/>
          </w:tcPr>
          <w:p w:rsidR="00AD53E5" w:rsidRDefault="00AD53E5" w:rsidP="00D82FB3">
            <w:pPr>
              <w:jc w:val="center"/>
            </w:pPr>
            <w:r>
              <w:t>1</w:t>
            </w:r>
          </w:p>
        </w:tc>
        <w:tc>
          <w:tcPr>
            <w:tcW w:w="900" w:type="dxa"/>
          </w:tcPr>
          <w:p w:rsidR="00AD53E5" w:rsidRDefault="006A56B0" w:rsidP="006A56B0">
            <w:pPr>
              <w:jc w:val="center"/>
            </w:pPr>
            <w:r>
              <w:t>1</w:t>
            </w:r>
            <w:r w:rsidR="00B85581">
              <w:t>/18</w:t>
            </w:r>
          </w:p>
        </w:tc>
        <w:tc>
          <w:tcPr>
            <w:tcW w:w="6480" w:type="dxa"/>
            <w:tcBorders>
              <w:top w:val="single" w:sz="12" w:space="0" w:color="auto"/>
            </w:tcBorders>
          </w:tcPr>
          <w:p w:rsidR="00AD53E5" w:rsidRDefault="00B342FC" w:rsidP="00D82FB3">
            <w:pPr>
              <w:ind w:left="288" w:hanging="288"/>
            </w:pPr>
            <w:r>
              <w:t>Introductions</w:t>
            </w:r>
            <w:r w:rsidR="00AF2E8C">
              <w:t>,</w:t>
            </w:r>
            <w:r>
              <w:t xml:space="preserve"> course overview</w:t>
            </w:r>
            <w:r w:rsidR="00AF2E8C">
              <w:t>,</w:t>
            </w:r>
            <w:r>
              <w:t xml:space="preserve"> modeling</w:t>
            </w:r>
          </w:p>
          <w:p w:rsidR="00B342FC" w:rsidRPr="00B342FC" w:rsidRDefault="0099506A" w:rsidP="00D82FB3">
            <w:pPr>
              <w:ind w:left="288" w:hanging="288"/>
              <w:rPr>
                <w:i/>
              </w:rPr>
            </w:pPr>
            <w:r>
              <w:rPr>
                <w:i/>
              </w:rPr>
              <w:t>PPA</w:t>
            </w:r>
            <w:r w:rsidR="00B342FC" w:rsidRPr="00B342FC">
              <w:rPr>
                <w:i/>
              </w:rPr>
              <w:t>: Chapters 1-2</w:t>
            </w:r>
          </w:p>
          <w:p w:rsidR="00B342FC" w:rsidRPr="00B342FC" w:rsidRDefault="0099506A" w:rsidP="00D82FB3">
            <w:pPr>
              <w:ind w:left="288" w:hanging="288"/>
              <w:rPr>
                <w:i/>
              </w:rPr>
            </w:pPr>
            <w:r>
              <w:rPr>
                <w:i/>
              </w:rPr>
              <w:t>QDM</w:t>
            </w:r>
            <w:r w:rsidR="00B342FC" w:rsidRPr="00B342FC">
              <w:rPr>
                <w:i/>
              </w:rPr>
              <w:t>: Chapters 1-2</w:t>
            </w:r>
          </w:p>
          <w:p w:rsidR="00AD53E5" w:rsidRPr="000D086A" w:rsidRDefault="00AD53E5" w:rsidP="00BA1FDB">
            <w:pPr>
              <w:ind w:left="288" w:hanging="288"/>
              <w:rPr>
                <w:sz w:val="20"/>
                <w:szCs w:val="20"/>
              </w:rPr>
            </w:pPr>
          </w:p>
        </w:tc>
        <w:tc>
          <w:tcPr>
            <w:tcW w:w="1692" w:type="dxa"/>
          </w:tcPr>
          <w:p w:rsidR="00AD53E5" w:rsidRDefault="00AD53E5" w:rsidP="00D82FB3">
            <w:pPr>
              <w:jc w:val="center"/>
            </w:pPr>
          </w:p>
        </w:tc>
      </w:tr>
      <w:tr w:rsidR="00AD53E5" w:rsidTr="00651FF5">
        <w:tc>
          <w:tcPr>
            <w:tcW w:w="828" w:type="dxa"/>
          </w:tcPr>
          <w:p w:rsidR="00AD53E5" w:rsidRDefault="006A56B0" w:rsidP="00D82FB3">
            <w:pPr>
              <w:jc w:val="center"/>
            </w:pPr>
            <w:r>
              <w:t>2</w:t>
            </w:r>
          </w:p>
        </w:tc>
        <w:tc>
          <w:tcPr>
            <w:tcW w:w="900" w:type="dxa"/>
          </w:tcPr>
          <w:p w:rsidR="00AD53E5" w:rsidRDefault="006A56B0" w:rsidP="006A56B0">
            <w:pPr>
              <w:jc w:val="center"/>
            </w:pPr>
            <w:r>
              <w:t>1</w:t>
            </w:r>
            <w:r w:rsidR="00AD53E5">
              <w:t>/</w:t>
            </w:r>
            <w:r>
              <w:t>2</w:t>
            </w:r>
            <w:r w:rsidR="00B85581">
              <w:t>5</w:t>
            </w:r>
          </w:p>
        </w:tc>
        <w:tc>
          <w:tcPr>
            <w:tcW w:w="6480" w:type="dxa"/>
          </w:tcPr>
          <w:p w:rsidR="003C791B" w:rsidRDefault="003C791B" w:rsidP="003C791B">
            <w:pPr>
              <w:ind w:left="288" w:hanging="288"/>
            </w:pPr>
            <w:r>
              <w:t>Mathematical programming: the basics, linear programming, Excel’s Solver</w:t>
            </w:r>
          </w:p>
          <w:p w:rsidR="003C791B" w:rsidRDefault="003C791B" w:rsidP="003C791B">
            <w:pPr>
              <w:ind w:left="288" w:hanging="288"/>
              <w:rPr>
                <w:i/>
              </w:rPr>
            </w:pPr>
            <w:r>
              <w:rPr>
                <w:i/>
              </w:rPr>
              <w:t>SMDA: Chapter 2.0-2.8</w:t>
            </w:r>
          </w:p>
          <w:p w:rsidR="003C791B" w:rsidRDefault="003C791B" w:rsidP="003C791B">
            <w:pPr>
              <w:ind w:left="288" w:hanging="288"/>
              <w:rPr>
                <w:i/>
              </w:rPr>
            </w:pPr>
            <w:r>
              <w:rPr>
                <w:i/>
              </w:rPr>
              <w:t xml:space="preserve">QDM: Chapter 9.1 – 9.10 </w:t>
            </w:r>
          </w:p>
          <w:p w:rsidR="003C791B" w:rsidRDefault="003C791B" w:rsidP="003C791B">
            <w:pPr>
              <w:ind w:left="288" w:hanging="288"/>
              <w:rPr>
                <w:i/>
              </w:rPr>
            </w:pPr>
            <w:r>
              <w:rPr>
                <w:i/>
              </w:rPr>
              <w:t>Excel Solver tutorial</w:t>
            </w:r>
          </w:p>
          <w:p w:rsidR="00AD53E5" w:rsidRPr="000D086A" w:rsidRDefault="00AD53E5" w:rsidP="00D82FB3">
            <w:pPr>
              <w:ind w:left="288" w:hanging="288"/>
              <w:rPr>
                <w:sz w:val="20"/>
                <w:szCs w:val="20"/>
              </w:rPr>
            </w:pPr>
          </w:p>
        </w:tc>
        <w:tc>
          <w:tcPr>
            <w:tcW w:w="1692" w:type="dxa"/>
          </w:tcPr>
          <w:p w:rsidR="00AD53E5" w:rsidRDefault="00AD53E5" w:rsidP="00D82FB3">
            <w:pPr>
              <w:jc w:val="center"/>
            </w:pPr>
          </w:p>
        </w:tc>
      </w:tr>
      <w:tr w:rsidR="00AD53E5" w:rsidTr="00651FF5">
        <w:tc>
          <w:tcPr>
            <w:tcW w:w="828" w:type="dxa"/>
          </w:tcPr>
          <w:p w:rsidR="00AD53E5" w:rsidRDefault="006A56B0" w:rsidP="006A56B0">
            <w:pPr>
              <w:jc w:val="center"/>
            </w:pPr>
            <w:r>
              <w:t>3</w:t>
            </w:r>
          </w:p>
        </w:tc>
        <w:tc>
          <w:tcPr>
            <w:tcW w:w="900" w:type="dxa"/>
          </w:tcPr>
          <w:p w:rsidR="00AD53E5" w:rsidRDefault="006A56B0" w:rsidP="006A56B0">
            <w:pPr>
              <w:jc w:val="center"/>
            </w:pPr>
            <w:r>
              <w:t>2</w:t>
            </w:r>
            <w:r w:rsidR="00AD53E5">
              <w:t>/</w:t>
            </w:r>
            <w:r w:rsidR="00B85581">
              <w:t>1</w:t>
            </w:r>
          </w:p>
        </w:tc>
        <w:tc>
          <w:tcPr>
            <w:tcW w:w="6480" w:type="dxa"/>
          </w:tcPr>
          <w:p w:rsidR="003C791B" w:rsidRDefault="003C791B" w:rsidP="003C791B">
            <w:pPr>
              <w:ind w:left="288" w:hanging="288"/>
            </w:pPr>
            <w:r>
              <w:t>Mathematical programming: integer linear programming, binary variables</w:t>
            </w:r>
          </w:p>
          <w:p w:rsidR="003C791B" w:rsidRDefault="003C791B" w:rsidP="003C791B">
            <w:pPr>
              <w:ind w:left="288" w:hanging="288"/>
              <w:rPr>
                <w:i/>
              </w:rPr>
            </w:pPr>
            <w:r>
              <w:rPr>
                <w:i/>
              </w:rPr>
              <w:t>QDM: Chapter 11 (pp. 407-409; pp. 418-422)</w:t>
            </w:r>
          </w:p>
          <w:p w:rsidR="003C791B" w:rsidRDefault="003C791B" w:rsidP="003C791B">
            <w:pPr>
              <w:ind w:left="288" w:hanging="288"/>
              <w:rPr>
                <w:i/>
              </w:rPr>
            </w:pPr>
            <w:r>
              <w:rPr>
                <w:i/>
              </w:rPr>
              <w:t>QDM: Chapter 12 (pp. 458-460)</w:t>
            </w:r>
          </w:p>
          <w:p w:rsidR="003C791B" w:rsidRDefault="003C791B" w:rsidP="003C791B">
            <w:pPr>
              <w:ind w:left="288" w:hanging="288"/>
              <w:rPr>
                <w:i/>
              </w:rPr>
            </w:pPr>
            <w:r>
              <w:rPr>
                <w:i/>
              </w:rPr>
              <w:t>IMS: Chapter 7.3-7.4</w:t>
            </w:r>
          </w:p>
          <w:p w:rsidR="00AD53E5" w:rsidRPr="000D086A" w:rsidRDefault="00AD53E5" w:rsidP="00AF2E8C">
            <w:pPr>
              <w:ind w:left="288" w:hanging="288"/>
              <w:rPr>
                <w:sz w:val="20"/>
                <w:szCs w:val="20"/>
              </w:rPr>
            </w:pPr>
          </w:p>
        </w:tc>
        <w:tc>
          <w:tcPr>
            <w:tcW w:w="1692" w:type="dxa"/>
          </w:tcPr>
          <w:p w:rsidR="00AD53E5" w:rsidRDefault="00AD53E5" w:rsidP="00D82FB3">
            <w:pPr>
              <w:jc w:val="center"/>
            </w:pPr>
          </w:p>
        </w:tc>
      </w:tr>
      <w:tr w:rsidR="003C791B" w:rsidTr="00651FF5">
        <w:tc>
          <w:tcPr>
            <w:tcW w:w="828" w:type="dxa"/>
          </w:tcPr>
          <w:p w:rsidR="003C791B" w:rsidRDefault="003C791B" w:rsidP="003C791B">
            <w:pPr>
              <w:jc w:val="center"/>
            </w:pPr>
            <w:r>
              <w:t>4</w:t>
            </w:r>
          </w:p>
        </w:tc>
        <w:tc>
          <w:tcPr>
            <w:tcW w:w="900" w:type="dxa"/>
          </w:tcPr>
          <w:p w:rsidR="003C791B" w:rsidRDefault="00B85581" w:rsidP="003C791B">
            <w:pPr>
              <w:jc w:val="center"/>
            </w:pPr>
            <w:r>
              <w:t>2/8</w:t>
            </w:r>
          </w:p>
        </w:tc>
        <w:tc>
          <w:tcPr>
            <w:tcW w:w="6480" w:type="dxa"/>
          </w:tcPr>
          <w:p w:rsidR="003C791B" w:rsidRDefault="003C791B" w:rsidP="003C791B">
            <w:pPr>
              <w:ind w:left="288" w:hanging="288"/>
            </w:pPr>
            <w:r>
              <w:t>Mathematical programming: distribution and network models</w:t>
            </w:r>
          </w:p>
          <w:p w:rsidR="003C791B" w:rsidRDefault="003C791B" w:rsidP="003C791B">
            <w:pPr>
              <w:ind w:left="288" w:hanging="288"/>
              <w:rPr>
                <w:i/>
              </w:rPr>
            </w:pPr>
            <w:r>
              <w:rPr>
                <w:i/>
              </w:rPr>
              <w:t>IMS: Chapter 6.1-6.4, appendix 6.1</w:t>
            </w:r>
          </w:p>
          <w:p w:rsidR="003C791B" w:rsidRPr="00DF5C3F" w:rsidRDefault="003C791B" w:rsidP="003C791B">
            <w:pPr>
              <w:ind w:left="288" w:hanging="288"/>
              <w:rPr>
                <w:i/>
              </w:rPr>
            </w:pPr>
          </w:p>
        </w:tc>
        <w:tc>
          <w:tcPr>
            <w:tcW w:w="1692" w:type="dxa"/>
          </w:tcPr>
          <w:p w:rsidR="003C791B" w:rsidRPr="00651FF5" w:rsidRDefault="003C791B" w:rsidP="003C791B">
            <w:pPr>
              <w:jc w:val="center"/>
              <w:rPr>
                <w:b/>
              </w:rPr>
            </w:pPr>
            <w:r w:rsidRPr="00651FF5">
              <w:rPr>
                <w:b/>
              </w:rPr>
              <w:t>PS1 due</w:t>
            </w:r>
          </w:p>
        </w:tc>
      </w:tr>
      <w:tr w:rsidR="003C791B" w:rsidTr="00651FF5">
        <w:tc>
          <w:tcPr>
            <w:tcW w:w="828" w:type="dxa"/>
          </w:tcPr>
          <w:p w:rsidR="003C791B" w:rsidRDefault="003C791B" w:rsidP="003C791B">
            <w:pPr>
              <w:jc w:val="center"/>
            </w:pPr>
            <w:r>
              <w:t>5</w:t>
            </w:r>
          </w:p>
        </w:tc>
        <w:tc>
          <w:tcPr>
            <w:tcW w:w="900" w:type="dxa"/>
          </w:tcPr>
          <w:p w:rsidR="003C791B" w:rsidRDefault="003C791B" w:rsidP="003C791B">
            <w:pPr>
              <w:jc w:val="center"/>
            </w:pPr>
            <w:r>
              <w:t>2/1</w:t>
            </w:r>
            <w:r w:rsidR="0007322E">
              <w:t>5</w:t>
            </w:r>
          </w:p>
        </w:tc>
        <w:tc>
          <w:tcPr>
            <w:tcW w:w="6480" w:type="dxa"/>
          </w:tcPr>
          <w:p w:rsidR="003C791B" w:rsidRDefault="003C791B" w:rsidP="003C791B">
            <w:pPr>
              <w:ind w:left="288" w:hanging="288"/>
            </w:pPr>
            <w:r>
              <w:t>Mathematical programming: goal programming (basics)</w:t>
            </w:r>
          </w:p>
          <w:p w:rsidR="003C791B" w:rsidRPr="009A7A27" w:rsidRDefault="003C791B" w:rsidP="003C791B">
            <w:pPr>
              <w:ind w:left="288" w:hanging="288"/>
              <w:rPr>
                <w:i/>
              </w:rPr>
            </w:pPr>
            <w:r w:rsidRPr="009A7A27">
              <w:rPr>
                <w:i/>
              </w:rPr>
              <w:t>QDM: Chapter 11 (pp. 422-432)</w:t>
            </w:r>
          </w:p>
          <w:p w:rsidR="003C791B" w:rsidRPr="000D086A" w:rsidRDefault="003C791B" w:rsidP="003C791B">
            <w:pPr>
              <w:ind w:left="288" w:hanging="288"/>
              <w:rPr>
                <w:sz w:val="20"/>
                <w:szCs w:val="20"/>
              </w:rPr>
            </w:pPr>
          </w:p>
        </w:tc>
        <w:tc>
          <w:tcPr>
            <w:tcW w:w="1692" w:type="dxa"/>
          </w:tcPr>
          <w:p w:rsidR="003C791B" w:rsidRPr="00651FF5" w:rsidRDefault="003C791B" w:rsidP="003C791B">
            <w:pPr>
              <w:jc w:val="center"/>
              <w:rPr>
                <w:b/>
              </w:rPr>
            </w:pPr>
          </w:p>
        </w:tc>
      </w:tr>
      <w:tr w:rsidR="003C791B" w:rsidTr="00651FF5">
        <w:tc>
          <w:tcPr>
            <w:tcW w:w="828" w:type="dxa"/>
          </w:tcPr>
          <w:p w:rsidR="003C791B" w:rsidRDefault="003C791B" w:rsidP="003C791B">
            <w:pPr>
              <w:jc w:val="center"/>
            </w:pPr>
            <w:r>
              <w:t>6</w:t>
            </w:r>
          </w:p>
        </w:tc>
        <w:tc>
          <w:tcPr>
            <w:tcW w:w="900" w:type="dxa"/>
          </w:tcPr>
          <w:p w:rsidR="003C791B" w:rsidRDefault="003C791B" w:rsidP="003C791B">
            <w:pPr>
              <w:jc w:val="center"/>
            </w:pPr>
            <w:r>
              <w:t>2/2</w:t>
            </w:r>
            <w:r w:rsidR="0007322E">
              <w:t>2</w:t>
            </w:r>
          </w:p>
        </w:tc>
        <w:tc>
          <w:tcPr>
            <w:tcW w:w="6480" w:type="dxa"/>
          </w:tcPr>
          <w:p w:rsidR="003C791B" w:rsidRDefault="003C791B" w:rsidP="003C791B">
            <w:pPr>
              <w:ind w:left="288" w:hanging="288"/>
            </w:pPr>
            <w:r>
              <w:t>Mathematical programming: goal programming (advanced) and multiple objective linear programming</w:t>
            </w:r>
          </w:p>
          <w:p w:rsidR="003C791B" w:rsidRDefault="003C791B" w:rsidP="003C791B">
            <w:pPr>
              <w:ind w:left="288" w:hanging="288"/>
              <w:rPr>
                <w:i/>
              </w:rPr>
            </w:pPr>
            <w:r>
              <w:rPr>
                <w:i/>
              </w:rPr>
              <w:t>SMDA: Chapter 7</w:t>
            </w:r>
          </w:p>
          <w:p w:rsidR="003C791B" w:rsidRPr="00DF5C3F" w:rsidRDefault="003C791B" w:rsidP="003C791B">
            <w:pPr>
              <w:ind w:left="288" w:hanging="288"/>
              <w:rPr>
                <w:i/>
              </w:rPr>
            </w:pPr>
          </w:p>
        </w:tc>
        <w:tc>
          <w:tcPr>
            <w:tcW w:w="1692" w:type="dxa"/>
          </w:tcPr>
          <w:p w:rsidR="003C791B" w:rsidRDefault="003C791B" w:rsidP="003C791B">
            <w:pPr>
              <w:jc w:val="center"/>
            </w:pPr>
          </w:p>
        </w:tc>
      </w:tr>
      <w:tr w:rsidR="003C791B" w:rsidTr="00651FF5">
        <w:tc>
          <w:tcPr>
            <w:tcW w:w="828" w:type="dxa"/>
          </w:tcPr>
          <w:p w:rsidR="003C791B" w:rsidRDefault="003C791B" w:rsidP="003C791B">
            <w:pPr>
              <w:jc w:val="center"/>
            </w:pPr>
            <w:r>
              <w:t>7</w:t>
            </w:r>
          </w:p>
        </w:tc>
        <w:tc>
          <w:tcPr>
            <w:tcW w:w="900" w:type="dxa"/>
          </w:tcPr>
          <w:p w:rsidR="003C791B" w:rsidRDefault="003C791B" w:rsidP="003C791B">
            <w:pPr>
              <w:jc w:val="center"/>
            </w:pPr>
            <w:r>
              <w:t>3/</w:t>
            </w:r>
            <w:r w:rsidR="0007322E">
              <w:t>1</w:t>
            </w:r>
          </w:p>
        </w:tc>
        <w:tc>
          <w:tcPr>
            <w:tcW w:w="6480" w:type="dxa"/>
          </w:tcPr>
          <w:p w:rsidR="003C791B" w:rsidRDefault="003C791B" w:rsidP="003C791B">
            <w:pPr>
              <w:ind w:left="288" w:hanging="288"/>
              <w:rPr>
                <w:i/>
              </w:rPr>
            </w:pPr>
            <w:r>
              <w:t>Mathematical programming: more GP and MOLP examples</w:t>
            </w:r>
            <w:r w:rsidRPr="00DF5C3F">
              <w:rPr>
                <w:i/>
              </w:rPr>
              <w:t xml:space="preserve"> </w:t>
            </w:r>
          </w:p>
          <w:p w:rsidR="003C791B" w:rsidRPr="00DF5C3F" w:rsidRDefault="003C791B" w:rsidP="003C791B">
            <w:pPr>
              <w:ind w:left="288" w:hanging="288"/>
              <w:rPr>
                <w:i/>
              </w:rPr>
            </w:pPr>
          </w:p>
        </w:tc>
        <w:tc>
          <w:tcPr>
            <w:tcW w:w="1692" w:type="dxa"/>
          </w:tcPr>
          <w:p w:rsidR="003C791B" w:rsidRDefault="003C791B" w:rsidP="003C791B">
            <w:pPr>
              <w:jc w:val="center"/>
            </w:pPr>
            <w:r w:rsidRPr="00651FF5">
              <w:rPr>
                <w:b/>
              </w:rPr>
              <w:t>PS2 due</w:t>
            </w:r>
          </w:p>
        </w:tc>
      </w:tr>
      <w:tr w:rsidR="003C791B" w:rsidTr="00651FF5">
        <w:tc>
          <w:tcPr>
            <w:tcW w:w="828" w:type="dxa"/>
          </w:tcPr>
          <w:p w:rsidR="003C791B" w:rsidRDefault="003C791B" w:rsidP="003C791B">
            <w:pPr>
              <w:jc w:val="center"/>
            </w:pPr>
            <w:r>
              <w:t>8</w:t>
            </w:r>
          </w:p>
        </w:tc>
        <w:tc>
          <w:tcPr>
            <w:tcW w:w="900" w:type="dxa"/>
          </w:tcPr>
          <w:p w:rsidR="003C791B" w:rsidRDefault="0007322E" w:rsidP="003C791B">
            <w:pPr>
              <w:jc w:val="center"/>
            </w:pPr>
            <w:r>
              <w:t>3/8</w:t>
            </w:r>
          </w:p>
        </w:tc>
        <w:tc>
          <w:tcPr>
            <w:tcW w:w="6480" w:type="dxa"/>
          </w:tcPr>
          <w:p w:rsidR="003C791B" w:rsidRPr="00651FF5" w:rsidRDefault="003C791B" w:rsidP="003C791B">
            <w:pPr>
              <w:ind w:left="288" w:hanging="288"/>
              <w:rPr>
                <w:b/>
              </w:rPr>
            </w:pPr>
            <w:r w:rsidRPr="00651FF5">
              <w:rPr>
                <w:b/>
              </w:rPr>
              <w:t>Mid-term</w:t>
            </w:r>
          </w:p>
          <w:p w:rsidR="003C791B" w:rsidRPr="00DF5C3F" w:rsidRDefault="003C791B" w:rsidP="003C791B">
            <w:pPr>
              <w:ind w:left="288" w:hanging="288"/>
              <w:rPr>
                <w:i/>
              </w:rPr>
            </w:pPr>
          </w:p>
        </w:tc>
        <w:tc>
          <w:tcPr>
            <w:tcW w:w="1692" w:type="dxa"/>
          </w:tcPr>
          <w:p w:rsidR="003C791B" w:rsidRPr="00651FF5" w:rsidRDefault="003C791B" w:rsidP="003C791B">
            <w:pPr>
              <w:jc w:val="center"/>
              <w:rPr>
                <w:b/>
              </w:rPr>
            </w:pPr>
          </w:p>
        </w:tc>
      </w:tr>
      <w:tr w:rsidR="003C791B" w:rsidTr="00651FF5">
        <w:tc>
          <w:tcPr>
            <w:tcW w:w="828" w:type="dxa"/>
          </w:tcPr>
          <w:p w:rsidR="003C791B" w:rsidRDefault="003C791B" w:rsidP="003C791B">
            <w:pPr>
              <w:jc w:val="center"/>
            </w:pPr>
            <w:r>
              <w:t>***</w:t>
            </w:r>
          </w:p>
        </w:tc>
        <w:tc>
          <w:tcPr>
            <w:tcW w:w="900" w:type="dxa"/>
          </w:tcPr>
          <w:p w:rsidR="003C791B" w:rsidRDefault="003C791B" w:rsidP="003C791B">
            <w:pPr>
              <w:jc w:val="center"/>
            </w:pPr>
            <w:r>
              <w:t>3/1</w:t>
            </w:r>
            <w:r w:rsidR="0007322E">
              <w:t>5</w:t>
            </w:r>
          </w:p>
        </w:tc>
        <w:tc>
          <w:tcPr>
            <w:tcW w:w="6480" w:type="dxa"/>
          </w:tcPr>
          <w:p w:rsidR="003C791B" w:rsidRPr="006A56B0" w:rsidRDefault="003C791B" w:rsidP="003C791B">
            <w:pPr>
              <w:ind w:left="288" w:hanging="288"/>
            </w:pPr>
            <w:r w:rsidRPr="006A56B0">
              <w:t>No Class – Spring Break</w:t>
            </w:r>
          </w:p>
          <w:p w:rsidR="003C791B" w:rsidRPr="00D45AFB" w:rsidRDefault="003C791B" w:rsidP="003C791B">
            <w:pPr>
              <w:ind w:left="288" w:hanging="288"/>
              <w:rPr>
                <w:b/>
              </w:rPr>
            </w:pPr>
          </w:p>
        </w:tc>
        <w:tc>
          <w:tcPr>
            <w:tcW w:w="1692" w:type="dxa"/>
          </w:tcPr>
          <w:p w:rsidR="003C791B" w:rsidRDefault="003C791B" w:rsidP="003C791B">
            <w:pPr>
              <w:jc w:val="center"/>
            </w:pPr>
          </w:p>
        </w:tc>
      </w:tr>
      <w:tr w:rsidR="003C791B" w:rsidTr="00651FF5">
        <w:tc>
          <w:tcPr>
            <w:tcW w:w="828" w:type="dxa"/>
          </w:tcPr>
          <w:p w:rsidR="003C791B" w:rsidRDefault="003C791B" w:rsidP="003C791B">
            <w:pPr>
              <w:jc w:val="center"/>
            </w:pPr>
            <w:r>
              <w:t>9</w:t>
            </w:r>
          </w:p>
        </w:tc>
        <w:tc>
          <w:tcPr>
            <w:tcW w:w="900" w:type="dxa"/>
          </w:tcPr>
          <w:p w:rsidR="003C791B" w:rsidRDefault="0007322E" w:rsidP="003C791B">
            <w:pPr>
              <w:jc w:val="center"/>
            </w:pPr>
            <w:r>
              <w:t>3/22</w:t>
            </w:r>
          </w:p>
          <w:p w:rsidR="003C791B" w:rsidRDefault="003C791B" w:rsidP="003C791B">
            <w:pPr>
              <w:jc w:val="center"/>
            </w:pPr>
          </w:p>
        </w:tc>
        <w:tc>
          <w:tcPr>
            <w:tcW w:w="6480" w:type="dxa"/>
          </w:tcPr>
          <w:p w:rsidR="003C791B" w:rsidRDefault="003C791B" w:rsidP="003C791B">
            <w:pPr>
              <w:ind w:left="288" w:hanging="288"/>
              <w:rPr>
                <w:i/>
              </w:rPr>
            </w:pPr>
            <w:r>
              <w:t>Project scheduling: CPM (basics), Gantt charts</w:t>
            </w:r>
            <w:r w:rsidRPr="00DF5C3F">
              <w:rPr>
                <w:i/>
              </w:rPr>
              <w:t xml:space="preserve"> </w:t>
            </w:r>
          </w:p>
          <w:p w:rsidR="003C791B" w:rsidRDefault="003C791B" w:rsidP="003C791B">
            <w:pPr>
              <w:ind w:left="288" w:hanging="288"/>
              <w:rPr>
                <w:i/>
              </w:rPr>
            </w:pPr>
            <w:r>
              <w:rPr>
                <w:i/>
              </w:rPr>
              <w:t>SMDA: Chapter 15.0 – 15.8</w:t>
            </w:r>
          </w:p>
          <w:p w:rsidR="003C791B" w:rsidRPr="00DF5C3F" w:rsidRDefault="003C791B" w:rsidP="003C791B">
            <w:pPr>
              <w:ind w:left="288" w:hanging="288"/>
              <w:rPr>
                <w:i/>
              </w:rPr>
            </w:pPr>
          </w:p>
        </w:tc>
        <w:tc>
          <w:tcPr>
            <w:tcW w:w="1692" w:type="dxa"/>
          </w:tcPr>
          <w:p w:rsidR="003C791B" w:rsidRDefault="003C791B" w:rsidP="003C791B">
            <w:pPr>
              <w:jc w:val="center"/>
            </w:pPr>
          </w:p>
        </w:tc>
      </w:tr>
      <w:tr w:rsidR="003C791B" w:rsidTr="00651FF5">
        <w:tc>
          <w:tcPr>
            <w:tcW w:w="828" w:type="dxa"/>
          </w:tcPr>
          <w:p w:rsidR="003C791B" w:rsidRDefault="003C791B" w:rsidP="003C791B">
            <w:pPr>
              <w:jc w:val="center"/>
            </w:pPr>
            <w:r>
              <w:t>10</w:t>
            </w:r>
          </w:p>
        </w:tc>
        <w:tc>
          <w:tcPr>
            <w:tcW w:w="900" w:type="dxa"/>
          </w:tcPr>
          <w:p w:rsidR="003C791B" w:rsidRDefault="0007322E" w:rsidP="003C791B">
            <w:r>
              <w:t xml:space="preserve">  3/29</w:t>
            </w:r>
          </w:p>
        </w:tc>
        <w:tc>
          <w:tcPr>
            <w:tcW w:w="6480" w:type="dxa"/>
          </w:tcPr>
          <w:p w:rsidR="003C791B" w:rsidRDefault="003C791B" w:rsidP="003C791B">
            <w:pPr>
              <w:ind w:left="288" w:hanging="288"/>
            </w:pPr>
            <w:r>
              <w:t>Project scheduling: CPM (project crashing); PERT</w:t>
            </w:r>
          </w:p>
          <w:p w:rsidR="003C791B" w:rsidRDefault="003C791B" w:rsidP="003C791B">
            <w:pPr>
              <w:ind w:left="288" w:hanging="288"/>
              <w:rPr>
                <w:i/>
              </w:rPr>
            </w:pPr>
            <w:r>
              <w:rPr>
                <w:i/>
              </w:rPr>
              <w:t>SMDA: Chapter 15.9 – 15.10</w:t>
            </w:r>
          </w:p>
          <w:p w:rsidR="003C791B" w:rsidRPr="00DF5C3F" w:rsidRDefault="003C791B" w:rsidP="003C791B">
            <w:pPr>
              <w:ind w:left="288" w:hanging="288"/>
              <w:rPr>
                <w:i/>
              </w:rPr>
            </w:pPr>
          </w:p>
        </w:tc>
        <w:tc>
          <w:tcPr>
            <w:tcW w:w="1692" w:type="dxa"/>
          </w:tcPr>
          <w:p w:rsidR="003C791B" w:rsidRDefault="003C791B" w:rsidP="003C791B">
            <w:pPr>
              <w:jc w:val="center"/>
            </w:pPr>
          </w:p>
        </w:tc>
      </w:tr>
      <w:tr w:rsidR="003C791B" w:rsidTr="00651FF5">
        <w:tc>
          <w:tcPr>
            <w:tcW w:w="828" w:type="dxa"/>
          </w:tcPr>
          <w:p w:rsidR="003C791B" w:rsidRDefault="003C791B" w:rsidP="003C791B">
            <w:pPr>
              <w:jc w:val="center"/>
            </w:pPr>
            <w:r>
              <w:t>11</w:t>
            </w:r>
          </w:p>
        </w:tc>
        <w:tc>
          <w:tcPr>
            <w:tcW w:w="900" w:type="dxa"/>
          </w:tcPr>
          <w:p w:rsidR="003C791B" w:rsidRDefault="003C791B" w:rsidP="003C791B">
            <w:pPr>
              <w:jc w:val="center"/>
            </w:pPr>
            <w:r>
              <w:t>4/</w:t>
            </w:r>
            <w:r w:rsidR="0007322E">
              <w:t>5</w:t>
            </w:r>
          </w:p>
        </w:tc>
        <w:tc>
          <w:tcPr>
            <w:tcW w:w="6480" w:type="dxa"/>
          </w:tcPr>
          <w:p w:rsidR="003C791B" w:rsidRDefault="003C791B" w:rsidP="003C791B">
            <w:pPr>
              <w:ind w:left="288" w:hanging="288"/>
            </w:pPr>
            <w:r>
              <w:t>Monte Carlo simulation: project networks</w:t>
            </w:r>
          </w:p>
          <w:p w:rsidR="003C791B" w:rsidRPr="00F20D35" w:rsidRDefault="003C791B" w:rsidP="003C791B">
            <w:pPr>
              <w:ind w:left="288" w:hanging="288"/>
              <w:rPr>
                <w:i/>
              </w:rPr>
            </w:pPr>
            <w:r>
              <w:rPr>
                <w:i/>
              </w:rPr>
              <w:t>SMDA: Chapter 15.11</w:t>
            </w:r>
          </w:p>
          <w:p w:rsidR="003C791B" w:rsidRPr="00DF5C3F" w:rsidRDefault="003C791B" w:rsidP="003C791B">
            <w:pPr>
              <w:ind w:left="288" w:hanging="288"/>
              <w:rPr>
                <w:i/>
              </w:rPr>
            </w:pPr>
          </w:p>
        </w:tc>
        <w:tc>
          <w:tcPr>
            <w:tcW w:w="1692" w:type="dxa"/>
          </w:tcPr>
          <w:p w:rsidR="003C791B" w:rsidRPr="003C791B" w:rsidRDefault="003C791B" w:rsidP="003C791B">
            <w:pPr>
              <w:jc w:val="center"/>
              <w:rPr>
                <w:b/>
              </w:rPr>
            </w:pPr>
            <w:r w:rsidRPr="003C791B">
              <w:rPr>
                <w:b/>
              </w:rPr>
              <w:t>PS3 due</w:t>
            </w:r>
          </w:p>
        </w:tc>
      </w:tr>
      <w:tr w:rsidR="003C791B" w:rsidTr="00651FF5">
        <w:tc>
          <w:tcPr>
            <w:tcW w:w="828" w:type="dxa"/>
          </w:tcPr>
          <w:p w:rsidR="003C791B" w:rsidRDefault="003C791B" w:rsidP="003C791B">
            <w:pPr>
              <w:jc w:val="center"/>
            </w:pPr>
            <w:r>
              <w:t>12</w:t>
            </w:r>
          </w:p>
        </w:tc>
        <w:tc>
          <w:tcPr>
            <w:tcW w:w="900" w:type="dxa"/>
          </w:tcPr>
          <w:p w:rsidR="003C791B" w:rsidRDefault="003C791B" w:rsidP="003C791B">
            <w:pPr>
              <w:jc w:val="center"/>
            </w:pPr>
            <w:r>
              <w:t>4/1</w:t>
            </w:r>
            <w:r w:rsidR="0007322E">
              <w:t>2</w:t>
            </w:r>
          </w:p>
        </w:tc>
        <w:tc>
          <w:tcPr>
            <w:tcW w:w="6480" w:type="dxa"/>
          </w:tcPr>
          <w:p w:rsidR="003C791B" w:rsidRDefault="003C791B" w:rsidP="003C791B">
            <w:pPr>
              <w:ind w:left="288" w:hanging="288"/>
            </w:pPr>
            <w:r>
              <w:t>Monte Carlo simulation: public financial management</w:t>
            </w:r>
          </w:p>
          <w:p w:rsidR="00B06740" w:rsidRPr="00B06740" w:rsidRDefault="00B06740" w:rsidP="003C791B">
            <w:pPr>
              <w:ind w:left="288" w:hanging="288"/>
              <w:rPr>
                <w:i/>
              </w:rPr>
            </w:pPr>
            <w:r w:rsidRPr="00B06740">
              <w:rPr>
                <w:i/>
              </w:rPr>
              <w:t>Reading: TBD</w:t>
            </w:r>
          </w:p>
          <w:p w:rsidR="00B06740" w:rsidRPr="003C791B" w:rsidRDefault="00B06740" w:rsidP="003C791B">
            <w:pPr>
              <w:ind w:left="288" w:hanging="288"/>
            </w:pPr>
          </w:p>
        </w:tc>
        <w:tc>
          <w:tcPr>
            <w:tcW w:w="1692" w:type="dxa"/>
          </w:tcPr>
          <w:p w:rsidR="003C791B" w:rsidRDefault="003C791B" w:rsidP="003C791B">
            <w:pPr>
              <w:jc w:val="center"/>
            </w:pPr>
          </w:p>
        </w:tc>
      </w:tr>
      <w:tr w:rsidR="003C791B" w:rsidTr="00651FF5">
        <w:tc>
          <w:tcPr>
            <w:tcW w:w="828" w:type="dxa"/>
          </w:tcPr>
          <w:p w:rsidR="003C791B" w:rsidRDefault="00B06740" w:rsidP="003C791B">
            <w:pPr>
              <w:jc w:val="center"/>
            </w:pPr>
            <w:r>
              <w:lastRenderedPageBreak/>
              <w:t>13</w:t>
            </w:r>
          </w:p>
        </w:tc>
        <w:tc>
          <w:tcPr>
            <w:tcW w:w="900" w:type="dxa"/>
          </w:tcPr>
          <w:p w:rsidR="003C791B" w:rsidRDefault="0007322E" w:rsidP="003C791B">
            <w:pPr>
              <w:jc w:val="center"/>
            </w:pPr>
            <w:r>
              <w:t>4/19</w:t>
            </w:r>
          </w:p>
        </w:tc>
        <w:tc>
          <w:tcPr>
            <w:tcW w:w="6480" w:type="dxa"/>
          </w:tcPr>
          <w:p w:rsidR="003C791B" w:rsidRDefault="00B06740" w:rsidP="003C791B">
            <w:pPr>
              <w:ind w:left="288" w:hanging="288"/>
            </w:pPr>
            <w:r>
              <w:t>Monte Carlo simulation: more PFM examples</w:t>
            </w:r>
          </w:p>
          <w:p w:rsidR="00B06740" w:rsidRPr="00B06740" w:rsidRDefault="00B06740" w:rsidP="003C791B">
            <w:pPr>
              <w:ind w:left="288" w:hanging="288"/>
              <w:rPr>
                <w:i/>
              </w:rPr>
            </w:pPr>
            <w:r w:rsidRPr="00B06740">
              <w:rPr>
                <w:i/>
              </w:rPr>
              <w:t>Reading: TBD</w:t>
            </w:r>
          </w:p>
        </w:tc>
        <w:tc>
          <w:tcPr>
            <w:tcW w:w="1692" w:type="dxa"/>
          </w:tcPr>
          <w:p w:rsidR="003C791B" w:rsidRPr="00651FF5" w:rsidRDefault="003C791B" w:rsidP="003C791B">
            <w:pPr>
              <w:jc w:val="center"/>
              <w:rPr>
                <w:b/>
              </w:rPr>
            </w:pPr>
          </w:p>
        </w:tc>
      </w:tr>
      <w:tr w:rsidR="003C791B" w:rsidTr="00651FF5">
        <w:tc>
          <w:tcPr>
            <w:tcW w:w="828" w:type="dxa"/>
          </w:tcPr>
          <w:p w:rsidR="003C791B" w:rsidRDefault="003C791B" w:rsidP="003C791B">
            <w:pPr>
              <w:jc w:val="center"/>
            </w:pPr>
          </w:p>
        </w:tc>
        <w:tc>
          <w:tcPr>
            <w:tcW w:w="900" w:type="dxa"/>
          </w:tcPr>
          <w:p w:rsidR="003C791B" w:rsidRDefault="003C791B" w:rsidP="003C791B">
            <w:pPr>
              <w:jc w:val="center"/>
            </w:pPr>
          </w:p>
        </w:tc>
        <w:tc>
          <w:tcPr>
            <w:tcW w:w="6480" w:type="dxa"/>
          </w:tcPr>
          <w:p w:rsidR="003C791B" w:rsidRDefault="003C791B" w:rsidP="003C791B">
            <w:pPr>
              <w:ind w:left="288" w:hanging="288"/>
            </w:pPr>
          </w:p>
        </w:tc>
        <w:tc>
          <w:tcPr>
            <w:tcW w:w="1692" w:type="dxa"/>
          </w:tcPr>
          <w:p w:rsidR="003C791B" w:rsidRDefault="003C791B" w:rsidP="003C791B">
            <w:pPr>
              <w:jc w:val="center"/>
            </w:pPr>
          </w:p>
        </w:tc>
      </w:tr>
      <w:tr w:rsidR="003C791B" w:rsidTr="00651FF5">
        <w:tc>
          <w:tcPr>
            <w:tcW w:w="828" w:type="dxa"/>
          </w:tcPr>
          <w:p w:rsidR="003C791B" w:rsidRDefault="003C791B" w:rsidP="00B06740">
            <w:pPr>
              <w:jc w:val="center"/>
            </w:pPr>
            <w:r>
              <w:t>1</w:t>
            </w:r>
            <w:r w:rsidR="00B06740">
              <w:t>4</w:t>
            </w:r>
          </w:p>
        </w:tc>
        <w:tc>
          <w:tcPr>
            <w:tcW w:w="900" w:type="dxa"/>
          </w:tcPr>
          <w:p w:rsidR="003C791B" w:rsidRDefault="003C791B" w:rsidP="003C791B">
            <w:pPr>
              <w:jc w:val="center"/>
            </w:pPr>
            <w:r>
              <w:t>4/2</w:t>
            </w:r>
            <w:r w:rsidR="0007322E">
              <w:t>6</w:t>
            </w:r>
          </w:p>
        </w:tc>
        <w:tc>
          <w:tcPr>
            <w:tcW w:w="6480" w:type="dxa"/>
          </w:tcPr>
          <w:p w:rsidR="003C791B" w:rsidRPr="00B06740" w:rsidRDefault="00B06740" w:rsidP="00B06740">
            <w:pPr>
              <w:ind w:left="288" w:hanging="288"/>
            </w:pPr>
            <w:r>
              <w:t>Final group project presentations</w:t>
            </w:r>
          </w:p>
        </w:tc>
        <w:tc>
          <w:tcPr>
            <w:tcW w:w="1692" w:type="dxa"/>
          </w:tcPr>
          <w:p w:rsidR="003C791B" w:rsidRDefault="003C791B" w:rsidP="003C791B">
            <w:pPr>
              <w:jc w:val="center"/>
            </w:pPr>
          </w:p>
        </w:tc>
      </w:tr>
      <w:tr w:rsidR="003C791B" w:rsidTr="00651FF5">
        <w:tc>
          <w:tcPr>
            <w:tcW w:w="828" w:type="dxa"/>
          </w:tcPr>
          <w:p w:rsidR="003C791B" w:rsidRDefault="003C791B" w:rsidP="003C791B">
            <w:pPr>
              <w:jc w:val="center"/>
            </w:pPr>
            <w:r>
              <w:t>1</w:t>
            </w:r>
            <w:r w:rsidR="00B06740">
              <w:t>5</w:t>
            </w:r>
          </w:p>
        </w:tc>
        <w:tc>
          <w:tcPr>
            <w:tcW w:w="900" w:type="dxa"/>
          </w:tcPr>
          <w:p w:rsidR="003C791B" w:rsidRDefault="00B06740" w:rsidP="003C791B">
            <w:pPr>
              <w:jc w:val="center"/>
            </w:pPr>
            <w:r>
              <w:t>5/</w:t>
            </w:r>
            <w:r w:rsidR="0007322E">
              <w:t>3</w:t>
            </w:r>
          </w:p>
        </w:tc>
        <w:tc>
          <w:tcPr>
            <w:tcW w:w="6480" w:type="dxa"/>
          </w:tcPr>
          <w:p w:rsidR="003C791B" w:rsidRPr="00B06740" w:rsidRDefault="00B06740" w:rsidP="003C791B">
            <w:pPr>
              <w:ind w:left="288" w:hanging="288"/>
            </w:pPr>
            <w:r w:rsidRPr="00B06740">
              <w:t>Final group project presentations</w:t>
            </w:r>
            <w:r w:rsidR="003C791B" w:rsidRPr="00B06740">
              <w:t xml:space="preserve"> </w:t>
            </w:r>
          </w:p>
        </w:tc>
        <w:tc>
          <w:tcPr>
            <w:tcW w:w="1692" w:type="dxa"/>
          </w:tcPr>
          <w:p w:rsidR="003C791B" w:rsidRPr="00B06740" w:rsidRDefault="00B06740" w:rsidP="003C791B">
            <w:pPr>
              <w:jc w:val="center"/>
              <w:rPr>
                <w:b/>
              </w:rPr>
            </w:pPr>
            <w:r w:rsidRPr="00B06740">
              <w:rPr>
                <w:b/>
              </w:rPr>
              <w:t>PS4 due</w:t>
            </w:r>
          </w:p>
        </w:tc>
      </w:tr>
    </w:tbl>
    <w:p w:rsidR="00AD53E5" w:rsidRPr="0064514F" w:rsidRDefault="00AD53E5" w:rsidP="00EA19A2">
      <w:pPr>
        <w:jc w:val="center"/>
        <w:rPr>
          <w:b/>
        </w:rPr>
      </w:pPr>
    </w:p>
    <w:sectPr w:rsidR="00AD53E5" w:rsidRPr="0064514F" w:rsidSect="00784359">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E9" w:rsidRDefault="00076AE9">
      <w:r>
        <w:separator/>
      </w:r>
    </w:p>
  </w:endnote>
  <w:endnote w:type="continuationSeparator" w:id="0">
    <w:p w:rsidR="00076AE9" w:rsidRDefault="0007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9F" w:rsidRDefault="00AE02CC" w:rsidP="00784359">
    <w:pPr>
      <w:pStyle w:val="Footer"/>
      <w:framePr w:wrap="around" w:vAnchor="text" w:hAnchor="margin" w:xAlign="right" w:y="1"/>
      <w:rPr>
        <w:rStyle w:val="PageNumber"/>
      </w:rPr>
    </w:pPr>
    <w:r>
      <w:rPr>
        <w:rStyle w:val="PageNumber"/>
      </w:rPr>
      <w:fldChar w:fldCharType="begin"/>
    </w:r>
    <w:r w:rsidR="005E3B9F">
      <w:rPr>
        <w:rStyle w:val="PageNumber"/>
      </w:rPr>
      <w:instrText xml:space="preserve">PAGE  </w:instrText>
    </w:r>
    <w:r>
      <w:rPr>
        <w:rStyle w:val="PageNumber"/>
      </w:rPr>
      <w:fldChar w:fldCharType="end"/>
    </w:r>
  </w:p>
  <w:p w:rsidR="005E3B9F" w:rsidRDefault="005E3B9F" w:rsidP="005E3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9F" w:rsidRDefault="00AE02CC" w:rsidP="00784359">
    <w:pPr>
      <w:pStyle w:val="Footer"/>
      <w:framePr w:wrap="around" w:vAnchor="text" w:hAnchor="margin" w:xAlign="right" w:y="1"/>
      <w:rPr>
        <w:rStyle w:val="PageNumber"/>
      </w:rPr>
    </w:pPr>
    <w:r>
      <w:rPr>
        <w:rStyle w:val="PageNumber"/>
      </w:rPr>
      <w:fldChar w:fldCharType="begin"/>
    </w:r>
    <w:r w:rsidR="005E3B9F">
      <w:rPr>
        <w:rStyle w:val="PageNumber"/>
      </w:rPr>
      <w:instrText xml:space="preserve">PAGE  </w:instrText>
    </w:r>
    <w:r>
      <w:rPr>
        <w:rStyle w:val="PageNumber"/>
      </w:rPr>
      <w:fldChar w:fldCharType="separate"/>
    </w:r>
    <w:r w:rsidR="00474C8C">
      <w:rPr>
        <w:rStyle w:val="PageNumber"/>
        <w:noProof/>
      </w:rPr>
      <w:t>5</w:t>
    </w:r>
    <w:r>
      <w:rPr>
        <w:rStyle w:val="PageNumber"/>
      </w:rPr>
      <w:fldChar w:fldCharType="end"/>
    </w:r>
  </w:p>
  <w:p w:rsidR="005E3B9F" w:rsidRDefault="005E3B9F" w:rsidP="005E3B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E9" w:rsidRDefault="00076AE9">
      <w:r>
        <w:separator/>
      </w:r>
    </w:p>
  </w:footnote>
  <w:footnote w:type="continuationSeparator" w:id="0">
    <w:p w:rsidR="00076AE9" w:rsidRDefault="0007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FE" w:rsidRDefault="00BF32F9" w:rsidP="002F5760">
    <w:pPr>
      <w:pStyle w:val="Header"/>
    </w:pPr>
    <w:r>
      <w:rPr>
        <w:sz w:val="20"/>
        <w:szCs w:val="20"/>
      </w:rPr>
      <w:t>PA</w:t>
    </w:r>
    <w:r w:rsidR="00C11E3D">
      <w:rPr>
        <w:sz w:val="20"/>
        <w:szCs w:val="20"/>
      </w:rPr>
      <w:t>397C</w:t>
    </w:r>
    <w:r>
      <w:rPr>
        <w:sz w:val="20"/>
        <w:szCs w:val="20"/>
      </w:rPr>
      <w:t>-</w:t>
    </w:r>
    <w:r w:rsidR="00B665BC">
      <w:rPr>
        <w:sz w:val="20"/>
        <w:szCs w:val="20"/>
      </w:rPr>
      <w:t>61000</w:t>
    </w:r>
    <w:r w:rsidR="00EF29FE">
      <w:tab/>
    </w:r>
    <w:r w:rsidR="00025627">
      <w:t>DRAFT</w:t>
    </w:r>
    <w:r w:rsidR="002B73D3">
      <w:rPr>
        <w:b/>
        <w:sz w:val="20"/>
        <w:szCs w:val="20"/>
      </w:rPr>
      <w:tab/>
    </w:r>
    <w:r w:rsidR="002B73D3" w:rsidRPr="002B73D3">
      <w:rPr>
        <w:sz w:val="20"/>
        <w:szCs w:val="20"/>
      </w:rPr>
      <w:t>Spring 201</w:t>
    </w:r>
    <w:r w:rsidR="00B665BC">
      <w:rPr>
        <w:sz w:val="20"/>
        <w:szCs w:val="20"/>
      </w:rPr>
      <w:t>8</w:t>
    </w:r>
    <w:r w:rsidR="00EF29FE">
      <w:tab/>
    </w:r>
    <w:r w:rsidR="0027315E">
      <w:t xml:space="preserve">                                 </w:t>
    </w:r>
    <w:r w:rsidR="002F5760">
      <w:t xml:space="preserve">                </w:t>
    </w:r>
    <w:r w:rsidR="00F1147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7E" w:rsidRDefault="00A06458" w:rsidP="00665A7E">
    <w:pPr>
      <w:pStyle w:val="Header"/>
      <w:tabs>
        <w:tab w:val="clear" w:pos="8640"/>
        <w:tab w:val="right" w:pos="9360"/>
      </w:tabs>
    </w:pPr>
    <w:r>
      <w:rPr>
        <w:sz w:val="20"/>
        <w:szCs w:val="20"/>
      </w:rPr>
      <w:t>P</w:t>
    </w:r>
    <w:r w:rsidR="001D7FBF">
      <w:rPr>
        <w:sz w:val="20"/>
        <w:szCs w:val="20"/>
      </w:rPr>
      <w:t>A</w:t>
    </w:r>
    <w:r w:rsidR="009A4040">
      <w:rPr>
        <w:sz w:val="20"/>
        <w:szCs w:val="20"/>
      </w:rPr>
      <w:t>397C</w:t>
    </w:r>
    <w:r w:rsidR="001D7FBF">
      <w:rPr>
        <w:sz w:val="20"/>
        <w:szCs w:val="20"/>
      </w:rPr>
      <w:t>-6</w:t>
    </w:r>
    <w:r w:rsidR="00B665BC">
      <w:rPr>
        <w:sz w:val="20"/>
        <w:szCs w:val="20"/>
      </w:rPr>
      <w:t>1000</w:t>
    </w:r>
    <w:r w:rsidR="00665A7E">
      <w:tab/>
    </w:r>
    <w:r w:rsidR="00665A7E" w:rsidRPr="009308AF">
      <w:t xml:space="preserve">          </w:t>
    </w:r>
    <w:r w:rsidR="009308AF" w:rsidRPr="009308AF">
      <w:t>Course Syllabus and Schedule</w:t>
    </w:r>
    <w:r w:rsidR="00025627">
      <w:t xml:space="preserve"> - DRAFT</w:t>
    </w:r>
    <w:r w:rsidR="002B73D3">
      <w:tab/>
    </w:r>
    <w:r w:rsidR="002B73D3" w:rsidRPr="002B73D3">
      <w:rPr>
        <w:sz w:val="20"/>
        <w:szCs w:val="20"/>
      </w:rPr>
      <w:t>Spring 201</w:t>
    </w:r>
    <w:r w:rsidR="003C791B">
      <w:rPr>
        <w:sz w:val="20"/>
        <w:szCs w:val="20"/>
      </w:rPr>
      <w:t>8</w:t>
    </w:r>
  </w:p>
  <w:p w:rsidR="00665A7E" w:rsidRDefault="001D7FBF" w:rsidP="00665A7E">
    <w:pPr>
      <w:pStyle w:val="Header"/>
    </w:pPr>
    <w:r>
      <w:rPr>
        <w:sz w:val="20"/>
        <w:szCs w:val="20"/>
      </w:rPr>
      <w:t>Thursdays</w:t>
    </w:r>
    <w:r w:rsidR="00665A7E" w:rsidRPr="00FD3BDA">
      <w:rPr>
        <w:sz w:val="20"/>
        <w:szCs w:val="20"/>
      </w:rPr>
      <w:t xml:space="preserve">, </w:t>
    </w:r>
    <w:r w:rsidR="009A4040">
      <w:rPr>
        <w:sz w:val="20"/>
        <w:szCs w:val="20"/>
      </w:rPr>
      <w:t>9</w:t>
    </w:r>
    <w:r w:rsidR="0099506A">
      <w:rPr>
        <w:sz w:val="20"/>
        <w:szCs w:val="20"/>
      </w:rPr>
      <w:t>AM</w:t>
    </w:r>
    <w:r w:rsidR="00665A7E" w:rsidRPr="00FD3BDA">
      <w:rPr>
        <w:sz w:val="20"/>
        <w:szCs w:val="20"/>
      </w:rPr>
      <w:t>-</w:t>
    </w:r>
    <w:r w:rsidR="009A4040">
      <w:rPr>
        <w:sz w:val="20"/>
        <w:szCs w:val="20"/>
      </w:rPr>
      <w:t>12</w:t>
    </w:r>
    <w:r w:rsidR="00665A7E" w:rsidRPr="00FD3BDA">
      <w:rPr>
        <w:sz w:val="20"/>
        <w:szCs w:val="20"/>
      </w:rPr>
      <w:t>PM</w:t>
    </w:r>
    <w:r w:rsidR="00665A7E">
      <w:rPr>
        <w:sz w:val="20"/>
        <w:szCs w:val="20"/>
      </w:rPr>
      <w:t xml:space="preserve"> </w:t>
    </w:r>
    <w:r w:rsidR="00665A7E" w:rsidRPr="00FD3BDA">
      <w:rPr>
        <w:sz w:val="20"/>
        <w:szCs w:val="20"/>
      </w:rPr>
      <w:t xml:space="preserve"> </w:t>
    </w:r>
    <w:r w:rsidR="00665A7E">
      <w:rPr>
        <w:sz w:val="20"/>
        <w:szCs w:val="20"/>
      </w:rPr>
      <w:tab/>
    </w:r>
    <w:r w:rsidR="00665A7E">
      <w:rPr>
        <w:b/>
        <w:sz w:val="20"/>
        <w:szCs w:val="20"/>
      </w:rPr>
      <w:tab/>
    </w:r>
  </w:p>
  <w:p w:rsidR="00665A7E" w:rsidRPr="00665A7E" w:rsidRDefault="00E63696">
    <w:pPr>
      <w:pStyle w:val="Header"/>
      <w:rPr>
        <w:sz w:val="20"/>
        <w:szCs w:val="20"/>
      </w:rPr>
    </w:pPr>
    <w:r>
      <w:rPr>
        <w:sz w:val="20"/>
        <w:szCs w:val="20"/>
      </w:rPr>
      <w:t>SRH 3.B7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1B6"/>
    <w:multiLevelType w:val="hybridMultilevel"/>
    <w:tmpl w:val="5F8CF2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700DD"/>
    <w:multiLevelType w:val="hybridMultilevel"/>
    <w:tmpl w:val="8710F4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25153"/>
    <w:multiLevelType w:val="hybridMultilevel"/>
    <w:tmpl w:val="687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62800"/>
    <w:multiLevelType w:val="hybridMultilevel"/>
    <w:tmpl w:val="9272C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B5BCA"/>
    <w:multiLevelType w:val="hybridMultilevel"/>
    <w:tmpl w:val="EF08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E1247"/>
    <w:multiLevelType w:val="hybridMultilevel"/>
    <w:tmpl w:val="C150D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6342D"/>
    <w:multiLevelType w:val="hybridMultilevel"/>
    <w:tmpl w:val="B6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B5116"/>
    <w:multiLevelType w:val="hybridMultilevel"/>
    <w:tmpl w:val="29A6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839D1"/>
    <w:multiLevelType w:val="hybridMultilevel"/>
    <w:tmpl w:val="A2AC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55647"/>
    <w:multiLevelType w:val="hybridMultilevel"/>
    <w:tmpl w:val="249C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20E3B"/>
    <w:multiLevelType w:val="hybridMultilevel"/>
    <w:tmpl w:val="633E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E16E7"/>
    <w:multiLevelType w:val="hybridMultilevel"/>
    <w:tmpl w:val="B72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950CE"/>
    <w:multiLevelType w:val="hybridMultilevel"/>
    <w:tmpl w:val="8DBC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A610B"/>
    <w:multiLevelType w:val="hybridMultilevel"/>
    <w:tmpl w:val="3C5CF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84BDB"/>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5"/>
  </w:num>
  <w:num w:numId="6">
    <w:abstractNumId w:val="6"/>
  </w:num>
  <w:num w:numId="7">
    <w:abstractNumId w:val="10"/>
  </w:num>
  <w:num w:numId="8">
    <w:abstractNumId w:val="2"/>
  </w:num>
  <w:num w:numId="9">
    <w:abstractNumId w:val="13"/>
  </w:num>
  <w:num w:numId="10">
    <w:abstractNumId w:val="14"/>
  </w:num>
  <w:num w:numId="11">
    <w:abstractNumId w:val="12"/>
  </w:num>
  <w:num w:numId="12">
    <w:abstractNumId w:val="11"/>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D0"/>
    <w:rsid w:val="00003FBB"/>
    <w:rsid w:val="000074A7"/>
    <w:rsid w:val="00011F3F"/>
    <w:rsid w:val="00023E73"/>
    <w:rsid w:val="000245E8"/>
    <w:rsid w:val="00025627"/>
    <w:rsid w:val="000410E3"/>
    <w:rsid w:val="0004562A"/>
    <w:rsid w:val="0004645D"/>
    <w:rsid w:val="000600C5"/>
    <w:rsid w:val="00066E95"/>
    <w:rsid w:val="0007021D"/>
    <w:rsid w:val="0007322E"/>
    <w:rsid w:val="00076AE9"/>
    <w:rsid w:val="00081C1B"/>
    <w:rsid w:val="00087A0F"/>
    <w:rsid w:val="00091F17"/>
    <w:rsid w:val="00095243"/>
    <w:rsid w:val="000A34B6"/>
    <w:rsid w:val="000A375D"/>
    <w:rsid w:val="000B588B"/>
    <w:rsid w:val="000B7884"/>
    <w:rsid w:val="000C282C"/>
    <w:rsid w:val="000D086A"/>
    <w:rsid w:val="000D2E11"/>
    <w:rsid w:val="000D6720"/>
    <w:rsid w:val="000E211E"/>
    <w:rsid w:val="000F0AB5"/>
    <w:rsid w:val="000F1972"/>
    <w:rsid w:val="00102F2D"/>
    <w:rsid w:val="00107001"/>
    <w:rsid w:val="001109AB"/>
    <w:rsid w:val="001222AF"/>
    <w:rsid w:val="00135D80"/>
    <w:rsid w:val="00141966"/>
    <w:rsid w:val="001432BD"/>
    <w:rsid w:val="00154C6B"/>
    <w:rsid w:val="00155E25"/>
    <w:rsid w:val="00160494"/>
    <w:rsid w:val="00161A03"/>
    <w:rsid w:val="00164CC3"/>
    <w:rsid w:val="00166BC5"/>
    <w:rsid w:val="00167B51"/>
    <w:rsid w:val="001762FA"/>
    <w:rsid w:val="001808FF"/>
    <w:rsid w:val="00182FA2"/>
    <w:rsid w:val="0018385E"/>
    <w:rsid w:val="00196E10"/>
    <w:rsid w:val="001A09BC"/>
    <w:rsid w:val="001A2C61"/>
    <w:rsid w:val="001B028A"/>
    <w:rsid w:val="001B3EC6"/>
    <w:rsid w:val="001B5F81"/>
    <w:rsid w:val="001B6C16"/>
    <w:rsid w:val="001C0419"/>
    <w:rsid w:val="001C16FC"/>
    <w:rsid w:val="001C5D27"/>
    <w:rsid w:val="001D42C2"/>
    <w:rsid w:val="001D7FBF"/>
    <w:rsid w:val="001E385D"/>
    <w:rsid w:val="001E5E0A"/>
    <w:rsid w:val="001F0311"/>
    <w:rsid w:val="001F05D0"/>
    <w:rsid w:val="001F44E1"/>
    <w:rsid w:val="001F49F8"/>
    <w:rsid w:val="00201D45"/>
    <w:rsid w:val="00213747"/>
    <w:rsid w:val="00220FF6"/>
    <w:rsid w:val="00227E31"/>
    <w:rsid w:val="002475D0"/>
    <w:rsid w:val="00257FBF"/>
    <w:rsid w:val="00270095"/>
    <w:rsid w:val="00272D5B"/>
    <w:rsid w:val="0027315E"/>
    <w:rsid w:val="00273C6D"/>
    <w:rsid w:val="00275B84"/>
    <w:rsid w:val="00276A5E"/>
    <w:rsid w:val="00285BD1"/>
    <w:rsid w:val="002870BF"/>
    <w:rsid w:val="00293A5E"/>
    <w:rsid w:val="002A4802"/>
    <w:rsid w:val="002A5A1E"/>
    <w:rsid w:val="002B1601"/>
    <w:rsid w:val="002B412A"/>
    <w:rsid w:val="002B73D3"/>
    <w:rsid w:val="002D17B6"/>
    <w:rsid w:val="002E2291"/>
    <w:rsid w:val="002E5773"/>
    <w:rsid w:val="002E71E5"/>
    <w:rsid w:val="002F5760"/>
    <w:rsid w:val="00300AF7"/>
    <w:rsid w:val="00300E2B"/>
    <w:rsid w:val="00301489"/>
    <w:rsid w:val="00304284"/>
    <w:rsid w:val="00306301"/>
    <w:rsid w:val="00335283"/>
    <w:rsid w:val="00341AB6"/>
    <w:rsid w:val="00341D35"/>
    <w:rsid w:val="003459DD"/>
    <w:rsid w:val="003469E0"/>
    <w:rsid w:val="00353671"/>
    <w:rsid w:val="003567CE"/>
    <w:rsid w:val="00360751"/>
    <w:rsid w:val="00374918"/>
    <w:rsid w:val="0038392D"/>
    <w:rsid w:val="003879A8"/>
    <w:rsid w:val="003A0D00"/>
    <w:rsid w:val="003A7FCA"/>
    <w:rsid w:val="003B5817"/>
    <w:rsid w:val="003C2D93"/>
    <w:rsid w:val="003C4450"/>
    <w:rsid w:val="003C4C2A"/>
    <w:rsid w:val="003C5716"/>
    <w:rsid w:val="003C791B"/>
    <w:rsid w:val="003D5132"/>
    <w:rsid w:val="003E1E14"/>
    <w:rsid w:val="003E5719"/>
    <w:rsid w:val="003E6D28"/>
    <w:rsid w:val="004020D9"/>
    <w:rsid w:val="00403666"/>
    <w:rsid w:val="00407FB0"/>
    <w:rsid w:val="00423678"/>
    <w:rsid w:val="00427B5B"/>
    <w:rsid w:val="00440103"/>
    <w:rsid w:val="00445935"/>
    <w:rsid w:val="0044601B"/>
    <w:rsid w:val="004477F3"/>
    <w:rsid w:val="00452F89"/>
    <w:rsid w:val="00454006"/>
    <w:rsid w:val="004630DE"/>
    <w:rsid w:val="00470957"/>
    <w:rsid w:val="00474C8C"/>
    <w:rsid w:val="00481504"/>
    <w:rsid w:val="00493249"/>
    <w:rsid w:val="00494407"/>
    <w:rsid w:val="00496AF7"/>
    <w:rsid w:val="004A2AD9"/>
    <w:rsid w:val="004A7D19"/>
    <w:rsid w:val="004B4516"/>
    <w:rsid w:val="004C1796"/>
    <w:rsid w:val="004C339B"/>
    <w:rsid w:val="004D1CFD"/>
    <w:rsid w:val="004D4985"/>
    <w:rsid w:val="004D5509"/>
    <w:rsid w:val="004D5FFF"/>
    <w:rsid w:val="004E4C57"/>
    <w:rsid w:val="005035F3"/>
    <w:rsid w:val="00506DB1"/>
    <w:rsid w:val="00511B2E"/>
    <w:rsid w:val="005156F5"/>
    <w:rsid w:val="005337B8"/>
    <w:rsid w:val="00544773"/>
    <w:rsid w:val="005501AE"/>
    <w:rsid w:val="0055063A"/>
    <w:rsid w:val="00550AE5"/>
    <w:rsid w:val="00556D1D"/>
    <w:rsid w:val="00564704"/>
    <w:rsid w:val="00570051"/>
    <w:rsid w:val="0057147F"/>
    <w:rsid w:val="0057218D"/>
    <w:rsid w:val="0057287E"/>
    <w:rsid w:val="00586F23"/>
    <w:rsid w:val="005905FE"/>
    <w:rsid w:val="005A29A2"/>
    <w:rsid w:val="005A2A4B"/>
    <w:rsid w:val="005A318F"/>
    <w:rsid w:val="005A63FE"/>
    <w:rsid w:val="005A643E"/>
    <w:rsid w:val="005A6CCB"/>
    <w:rsid w:val="005B0920"/>
    <w:rsid w:val="005B17CC"/>
    <w:rsid w:val="005B5386"/>
    <w:rsid w:val="005B6C53"/>
    <w:rsid w:val="005B7A19"/>
    <w:rsid w:val="005C19E9"/>
    <w:rsid w:val="005E0018"/>
    <w:rsid w:val="005E3800"/>
    <w:rsid w:val="005E3B9F"/>
    <w:rsid w:val="005F1EC7"/>
    <w:rsid w:val="005F57DB"/>
    <w:rsid w:val="005F65F4"/>
    <w:rsid w:val="005F7734"/>
    <w:rsid w:val="0060080A"/>
    <w:rsid w:val="00620363"/>
    <w:rsid w:val="00622DBA"/>
    <w:rsid w:val="006266D8"/>
    <w:rsid w:val="0064514F"/>
    <w:rsid w:val="006509AC"/>
    <w:rsid w:val="00651FF5"/>
    <w:rsid w:val="00652E88"/>
    <w:rsid w:val="00657232"/>
    <w:rsid w:val="00663943"/>
    <w:rsid w:val="00665A7E"/>
    <w:rsid w:val="00673D4E"/>
    <w:rsid w:val="00674E1D"/>
    <w:rsid w:val="00680206"/>
    <w:rsid w:val="00680783"/>
    <w:rsid w:val="00690645"/>
    <w:rsid w:val="006923B8"/>
    <w:rsid w:val="00694DCD"/>
    <w:rsid w:val="006A028F"/>
    <w:rsid w:val="006A086A"/>
    <w:rsid w:val="006A372A"/>
    <w:rsid w:val="006A56B0"/>
    <w:rsid w:val="006B74A4"/>
    <w:rsid w:val="006C387F"/>
    <w:rsid w:val="006C5FFA"/>
    <w:rsid w:val="006E3E94"/>
    <w:rsid w:val="006E4E18"/>
    <w:rsid w:val="006E7B56"/>
    <w:rsid w:val="006F120F"/>
    <w:rsid w:val="006F1610"/>
    <w:rsid w:val="006F4C1F"/>
    <w:rsid w:val="00710010"/>
    <w:rsid w:val="00714F28"/>
    <w:rsid w:val="00720F61"/>
    <w:rsid w:val="007303F8"/>
    <w:rsid w:val="0074621D"/>
    <w:rsid w:val="00753410"/>
    <w:rsid w:val="007558E2"/>
    <w:rsid w:val="00756E16"/>
    <w:rsid w:val="00757199"/>
    <w:rsid w:val="0076170E"/>
    <w:rsid w:val="007723D5"/>
    <w:rsid w:val="0077430F"/>
    <w:rsid w:val="007744F0"/>
    <w:rsid w:val="007761ED"/>
    <w:rsid w:val="00784359"/>
    <w:rsid w:val="00784EE7"/>
    <w:rsid w:val="00785CE9"/>
    <w:rsid w:val="00787070"/>
    <w:rsid w:val="00794884"/>
    <w:rsid w:val="007A202E"/>
    <w:rsid w:val="007A523A"/>
    <w:rsid w:val="007B481F"/>
    <w:rsid w:val="007B78AC"/>
    <w:rsid w:val="007C01F4"/>
    <w:rsid w:val="007C6896"/>
    <w:rsid w:val="007D002B"/>
    <w:rsid w:val="007D6667"/>
    <w:rsid w:val="007E0ECA"/>
    <w:rsid w:val="007E5315"/>
    <w:rsid w:val="00804322"/>
    <w:rsid w:val="00810870"/>
    <w:rsid w:val="00810895"/>
    <w:rsid w:val="00812569"/>
    <w:rsid w:val="00821B89"/>
    <w:rsid w:val="00823125"/>
    <w:rsid w:val="008405EB"/>
    <w:rsid w:val="00842E24"/>
    <w:rsid w:val="00847B1E"/>
    <w:rsid w:val="00847F57"/>
    <w:rsid w:val="00853441"/>
    <w:rsid w:val="00856366"/>
    <w:rsid w:val="008608D7"/>
    <w:rsid w:val="00864197"/>
    <w:rsid w:val="008642FB"/>
    <w:rsid w:val="00865FD7"/>
    <w:rsid w:val="00877158"/>
    <w:rsid w:val="0089347C"/>
    <w:rsid w:val="008A1155"/>
    <w:rsid w:val="008B4CED"/>
    <w:rsid w:val="008B65CA"/>
    <w:rsid w:val="008D6DA8"/>
    <w:rsid w:val="008E55D5"/>
    <w:rsid w:val="008F1C77"/>
    <w:rsid w:val="008F3186"/>
    <w:rsid w:val="008F550C"/>
    <w:rsid w:val="008F574D"/>
    <w:rsid w:val="008F7259"/>
    <w:rsid w:val="00901B0E"/>
    <w:rsid w:val="00902C22"/>
    <w:rsid w:val="00912BB9"/>
    <w:rsid w:val="00913703"/>
    <w:rsid w:val="0091486C"/>
    <w:rsid w:val="00916F88"/>
    <w:rsid w:val="00917A69"/>
    <w:rsid w:val="00923B14"/>
    <w:rsid w:val="00930843"/>
    <w:rsid w:val="009308AF"/>
    <w:rsid w:val="0093234E"/>
    <w:rsid w:val="00945046"/>
    <w:rsid w:val="0094662F"/>
    <w:rsid w:val="009471D4"/>
    <w:rsid w:val="009503E3"/>
    <w:rsid w:val="00994B9F"/>
    <w:rsid w:val="0099506A"/>
    <w:rsid w:val="00997A6C"/>
    <w:rsid w:val="009A0830"/>
    <w:rsid w:val="009A2C51"/>
    <w:rsid w:val="009A4040"/>
    <w:rsid w:val="009A7A27"/>
    <w:rsid w:val="009B2743"/>
    <w:rsid w:val="009B5261"/>
    <w:rsid w:val="009C5BAD"/>
    <w:rsid w:val="009D0010"/>
    <w:rsid w:val="009D0644"/>
    <w:rsid w:val="009D07CF"/>
    <w:rsid w:val="009E2B5D"/>
    <w:rsid w:val="009F36EA"/>
    <w:rsid w:val="009F4497"/>
    <w:rsid w:val="009F5B3E"/>
    <w:rsid w:val="009F60BB"/>
    <w:rsid w:val="009F77EE"/>
    <w:rsid w:val="00A00877"/>
    <w:rsid w:val="00A06458"/>
    <w:rsid w:val="00A128DB"/>
    <w:rsid w:val="00A12A1C"/>
    <w:rsid w:val="00A243D6"/>
    <w:rsid w:val="00A24FF4"/>
    <w:rsid w:val="00A31D6F"/>
    <w:rsid w:val="00A3380E"/>
    <w:rsid w:val="00A35F5C"/>
    <w:rsid w:val="00A54574"/>
    <w:rsid w:val="00A56C39"/>
    <w:rsid w:val="00A601DC"/>
    <w:rsid w:val="00A67968"/>
    <w:rsid w:val="00A728AE"/>
    <w:rsid w:val="00A752B8"/>
    <w:rsid w:val="00A82E0E"/>
    <w:rsid w:val="00A85428"/>
    <w:rsid w:val="00A95ADE"/>
    <w:rsid w:val="00A9714D"/>
    <w:rsid w:val="00AB4DE1"/>
    <w:rsid w:val="00AB5D28"/>
    <w:rsid w:val="00AB7E44"/>
    <w:rsid w:val="00AC02F0"/>
    <w:rsid w:val="00AC41DD"/>
    <w:rsid w:val="00AC56C4"/>
    <w:rsid w:val="00AD53E5"/>
    <w:rsid w:val="00AE02CC"/>
    <w:rsid w:val="00AE1BAB"/>
    <w:rsid w:val="00AF2E8C"/>
    <w:rsid w:val="00AF406C"/>
    <w:rsid w:val="00AF46BE"/>
    <w:rsid w:val="00B01499"/>
    <w:rsid w:val="00B06740"/>
    <w:rsid w:val="00B14201"/>
    <w:rsid w:val="00B14653"/>
    <w:rsid w:val="00B16A27"/>
    <w:rsid w:val="00B25E64"/>
    <w:rsid w:val="00B342FC"/>
    <w:rsid w:val="00B34FBE"/>
    <w:rsid w:val="00B424EC"/>
    <w:rsid w:val="00B506E4"/>
    <w:rsid w:val="00B52B78"/>
    <w:rsid w:val="00B530F4"/>
    <w:rsid w:val="00B53EED"/>
    <w:rsid w:val="00B57583"/>
    <w:rsid w:val="00B665BC"/>
    <w:rsid w:val="00B73691"/>
    <w:rsid w:val="00B73923"/>
    <w:rsid w:val="00B842C1"/>
    <w:rsid w:val="00B844FD"/>
    <w:rsid w:val="00B85581"/>
    <w:rsid w:val="00B93342"/>
    <w:rsid w:val="00B94D47"/>
    <w:rsid w:val="00BA1FDB"/>
    <w:rsid w:val="00BA67D0"/>
    <w:rsid w:val="00BB3C4C"/>
    <w:rsid w:val="00BC024D"/>
    <w:rsid w:val="00BD0F9B"/>
    <w:rsid w:val="00BD4D87"/>
    <w:rsid w:val="00BE02BD"/>
    <w:rsid w:val="00BE78BE"/>
    <w:rsid w:val="00BF0C68"/>
    <w:rsid w:val="00BF32F9"/>
    <w:rsid w:val="00BF3FA2"/>
    <w:rsid w:val="00C044DF"/>
    <w:rsid w:val="00C11E3D"/>
    <w:rsid w:val="00C15389"/>
    <w:rsid w:val="00C159DC"/>
    <w:rsid w:val="00C26BF3"/>
    <w:rsid w:val="00C26CA9"/>
    <w:rsid w:val="00C278DD"/>
    <w:rsid w:val="00C328F2"/>
    <w:rsid w:val="00C32A10"/>
    <w:rsid w:val="00C33FB7"/>
    <w:rsid w:val="00C46CC7"/>
    <w:rsid w:val="00C51F33"/>
    <w:rsid w:val="00C53C43"/>
    <w:rsid w:val="00C556CC"/>
    <w:rsid w:val="00C572EA"/>
    <w:rsid w:val="00C60862"/>
    <w:rsid w:val="00C726F4"/>
    <w:rsid w:val="00C745FF"/>
    <w:rsid w:val="00C86CC5"/>
    <w:rsid w:val="00C9349E"/>
    <w:rsid w:val="00C95A7D"/>
    <w:rsid w:val="00CA3217"/>
    <w:rsid w:val="00CA46C8"/>
    <w:rsid w:val="00CA4870"/>
    <w:rsid w:val="00CB7391"/>
    <w:rsid w:val="00CC72B3"/>
    <w:rsid w:val="00CC7570"/>
    <w:rsid w:val="00CD4141"/>
    <w:rsid w:val="00CE4DB7"/>
    <w:rsid w:val="00D01423"/>
    <w:rsid w:val="00D01930"/>
    <w:rsid w:val="00D104BF"/>
    <w:rsid w:val="00D123C9"/>
    <w:rsid w:val="00D127D8"/>
    <w:rsid w:val="00D24654"/>
    <w:rsid w:val="00D30EAC"/>
    <w:rsid w:val="00D33CE7"/>
    <w:rsid w:val="00D37033"/>
    <w:rsid w:val="00D43D45"/>
    <w:rsid w:val="00D45AFB"/>
    <w:rsid w:val="00D45C37"/>
    <w:rsid w:val="00D60845"/>
    <w:rsid w:val="00D6725B"/>
    <w:rsid w:val="00D67F30"/>
    <w:rsid w:val="00D74FA4"/>
    <w:rsid w:val="00D75480"/>
    <w:rsid w:val="00D8225F"/>
    <w:rsid w:val="00D86519"/>
    <w:rsid w:val="00D91BE3"/>
    <w:rsid w:val="00D921DD"/>
    <w:rsid w:val="00D935C1"/>
    <w:rsid w:val="00D93F9A"/>
    <w:rsid w:val="00D96321"/>
    <w:rsid w:val="00DA6CBB"/>
    <w:rsid w:val="00DA6E51"/>
    <w:rsid w:val="00DB2799"/>
    <w:rsid w:val="00DB3309"/>
    <w:rsid w:val="00DC0C8A"/>
    <w:rsid w:val="00DC4FFA"/>
    <w:rsid w:val="00DD1E17"/>
    <w:rsid w:val="00DD3096"/>
    <w:rsid w:val="00DE61F5"/>
    <w:rsid w:val="00DF5C3F"/>
    <w:rsid w:val="00DF7D34"/>
    <w:rsid w:val="00E0002B"/>
    <w:rsid w:val="00E1216B"/>
    <w:rsid w:val="00E12398"/>
    <w:rsid w:val="00E23159"/>
    <w:rsid w:val="00E3463E"/>
    <w:rsid w:val="00E358C8"/>
    <w:rsid w:val="00E35950"/>
    <w:rsid w:val="00E43829"/>
    <w:rsid w:val="00E5437D"/>
    <w:rsid w:val="00E63696"/>
    <w:rsid w:val="00E64313"/>
    <w:rsid w:val="00E7068C"/>
    <w:rsid w:val="00E75DBC"/>
    <w:rsid w:val="00EA09C6"/>
    <w:rsid w:val="00EA19A2"/>
    <w:rsid w:val="00EA32FF"/>
    <w:rsid w:val="00EB1D83"/>
    <w:rsid w:val="00EB29EC"/>
    <w:rsid w:val="00EB5DA6"/>
    <w:rsid w:val="00EB6250"/>
    <w:rsid w:val="00EB6C4C"/>
    <w:rsid w:val="00EC50AB"/>
    <w:rsid w:val="00ED10EC"/>
    <w:rsid w:val="00EE2D28"/>
    <w:rsid w:val="00EF29FE"/>
    <w:rsid w:val="00EF7F3C"/>
    <w:rsid w:val="00F00CAE"/>
    <w:rsid w:val="00F073C2"/>
    <w:rsid w:val="00F0793B"/>
    <w:rsid w:val="00F10553"/>
    <w:rsid w:val="00F11478"/>
    <w:rsid w:val="00F14BA6"/>
    <w:rsid w:val="00F15CF3"/>
    <w:rsid w:val="00F173CC"/>
    <w:rsid w:val="00F20D35"/>
    <w:rsid w:val="00F30C53"/>
    <w:rsid w:val="00F37C2E"/>
    <w:rsid w:val="00F412EF"/>
    <w:rsid w:val="00F60B15"/>
    <w:rsid w:val="00F61D78"/>
    <w:rsid w:val="00F63729"/>
    <w:rsid w:val="00F81431"/>
    <w:rsid w:val="00F93016"/>
    <w:rsid w:val="00F934C7"/>
    <w:rsid w:val="00FA5414"/>
    <w:rsid w:val="00FA5A5C"/>
    <w:rsid w:val="00FB0A20"/>
    <w:rsid w:val="00FB12A8"/>
    <w:rsid w:val="00FB3B55"/>
    <w:rsid w:val="00FB3F95"/>
    <w:rsid w:val="00FC2DFB"/>
    <w:rsid w:val="00FC6768"/>
    <w:rsid w:val="00FD3BDA"/>
    <w:rsid w:val="00FE0923"/>
    <w:rsid w:val="00FE319C"/>
    <w:rsid w:val="00FE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2197D"/>
  <w15:docId w15:val="{84448705-7D28-4779-B0ED-E8B7787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4E1"/>
    <w:pPr>
      <w:tabs>
        <w:tab w:val="center" w:pos="4320"/>
        <w:tab w:val="right" w:pos="8640"/>
      </w:tabs>
    </w:pPr>
  </w:style>
  <w:style w:type="paragraph" w:styleId="Footer">
    <w:name w:val="footer"/>
    <w:basedOn w:val="Normal"/>
    <w:rsid w:val="001F44E1"/>
    <w:pPr>
      <w:tabs>
        <w:tab w:val="center" w:pos="4320"/>
        <w:tab w:val="right" w:pos="8640"/>
      </w:tabs>
    </w:pPr>
  </w:style>
  <w:style w:type="character" w:styleId="Hyperlink">
    <w:name w:val="Hyperlink"/>
    <w:basedOn w:val="DefaultParagraphFont"/>
    <w:rsid w:val="003B5817"/>
    <w:rPr>
      <w:color w:val="0000FF"/>
      <w:u w:val="single"/>
    </w:rPr>
  </w:style>
  <w:style w:type="table" w:styleId="TableGrid">
    <w:name w:val="Table Grid"/>
    <w:basedOn w:val="TableNormal"/>
    <w:rsid w:val="003C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4C57"/>
    <w:rPr>
      <w:rFonts w:ascii="Tahoma" w:hAnsi="Tahoma" w:cs="Tahoma"/>
      <w:sz w:val="16"/>
      <w:szCs w:val="16"/>
    </w:rPr>
  </w:style>
  <w:style w:type="character" w:styleId="FollowedHyperlink">
    <w:name w:val="FollowedHyperlink"/>
    <w:basedOn w:val="DefaultParagraphFont"/>
    <w:rsid w:val="00A31D6F"/>
    <w:rPr>
      <w:color w:val="800080"/>
      <w:u w:val="single"/>
    </w:rPr>
  </w:style>
  <w:style w:type="character" w:styleId="PageNumber">
    <w:name w:val="page number"/>
    <w:basedOn w:val="DefaultParagraphFont"/>
    <w:rsid w:val="005E3B9F"/>
  </w:style>
  <w:style w:type="paragraph" w:styleId="ListParagraph">
    <w:name w:val="List Paragraph"/>
    <w:basedOn w:val="Normal"/>
    <w:uiPriority w:val="34"/>
    <w:qFormat/>
    <w:rsid w:val="006A028F"/>
    <w:pPr>
      <w:ind w:left="720"/>
      <w:contextualSpacing/>
    </w:pPr>
  </w:style>
  <w:style w:type="character" w:customStyle="1" w:styleId="a-color-secondary">
    <w:name w:val="a-color-secondary"/>
    <w:basedOn w:val="DefaultParagraphFont"/>
    <w:rsid w:val="00BF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mstead@austin.utexa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emergen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talog.utexas.edu/general-information/the-university/" TargetMode="External"/><Relationship Id="rId4" Type="http://schemas.openxmlformats.org/officeDocument/2006/relationships/settings" Target="settings.xml"/><Relationship Id="rId9" Type="http://schemas.openxmlformats.org/officeDocument/2006/relationships/hyperlink" Target="http://www.utexas.edu/diversity/ddce/s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9750-F4C5-48D6-B2AF-CC0CCF5E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 AND SCHEDULE</vt:lpstr>
    </vt:vector>
  </TitlesOfParts>
  <Company>UConn Health Center</Company>
  <LinksUpToDate>false</LinksUpToDate>
  <CharactersWithSpaces>6968</CharactersWithSpaces>
  <SharedDoc>false</SharedDoc>
  <HLinks>
    <vt:vector size="12" baseType="variant">
      <vt:variant>
        <vt:i4>3145848</vt:i4>
      </vt:variant>
      <vt:variant>
        <vt:i4>3</vt:i4>
      </vt:variant>
      <vt:variant>
        <vt:i4>0</vt:i4>
      </vt:variant>
      <vt:variant>
        <vt:i4>5</vt:i4>
      </vt:variant>
      <vt:variant>
        <vt:lpwstr>http://stata.com/order/educational.html</vt:lpwstr>
      </vt:variant>
      <vt:variant>
        <vt:lpwstr/>
      </vt:variant>
      <vt:variant>
        <vt:i4>1179683</vt:i4>
      </vt:variant>
      <vt:variant>
        <vt:i4>0</vt:i4>
      </vt:variant>
      <vt:variant>
        <vt:i4>0</vt:i4>
      </vt:variant>
      <vt:variant>
        <vt:i4>5</vt:i4>
      </vt:variant>
      <vt:variant>
        <vt:lpwstr>mailto:olmstead@gmu.edu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AND SCHEDULE</dc:title>
  <dc:subject/>
  <dc:creator>Olmstead</dc:creator>
  <cp:keywords/>
  <dc:description/>
  <cp:lastModifiedBy>Olmstead, Todd A</cp:lastModifiedBy>
  <cp:revision>8</cp:revision>
  <cp:lastPrinted>2015-11-30T15:12:00Z</cp:lastPrinted>
  <dcterms:created xsi:type="dcterms:W3CDTF">2017-09-07T01:48:00Z</dcterms:created>
  <dcterms:modified xsi:type="dcterms:W3CDTF">2017-10-22T19:18:00Z</dcterms:modified>
</cp:coreProperties>
</file>